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ind w:firstLine="0" w:firstLineChars="0"/>
        <w:jc w:val="left"/>
        <w:textAlignment w:val="auto"/>
        <w:outlineLvl w:val="0"/>
        <w:rPr>
          <w:rFonts w:hint="default" w:ascii="Nimbus Roman No9 L" w:hAnsi="Nimbus Roman No9 L" w:eastAsia="黑体" w:cs="Nimbus Roman No9 L"/>
          <w:color w:val="auto"/>
          <w:sz w:val="32"/>
          <w:szCs w:val="32"/>
        </w:rPr>
      </w:pPr>
      <w:bookmarkStart w:id="41" w:name="_GoBack"/>
      <w:bookmarkEnd w:id="41"/>
      <w:r>
        <w:rPr>
          <w:rFonts w:hint="default" w:ascii="Nimbus Roman No9 L" w:hAnsi="Nimbus Roman No9 L" w:eastAsia="黑体" w:cs="Nimbus Roman No9 L"/>
          <w:color w:val="auto"/>
          <w:sz w:val="32"/>
          <w:szCs w:val="32"/>
        </w:rPr>
        <w:t>附件11</w:t>
      </w:r>
    </w:p>
    <w:p>
      <w:pPr>
        <w:keepNext w:val="0"/>
        <w:keepLines w:val="0"/>
        <w:pageBreakBefore w:val="0"/>
        <w:widowControl w:val="0"/>
        <w:kinsoku/>
        <w:wordWrap/>
        <w:overflowPunct/>
        <w:topLinePunct w:val="0"/>
        <w:autoSpaceDE/>
        <w:autoSpaceDN/>
        <w:bidi w:val="0"/>
        <w:adjustRightInd/>
        <w:snapToGrid w:val="0"/>
        <w:spacing w:line="580" w:lineRule="exact"/>
        <w:jc w:val="center"/>
        <w:textAlignment w:val="auto"/>
        <w:rPr>
          <w:rFonts w:hint="default" w:ascii="Nimbus Roman No9 L" w:hAnsi="Nimbus Roman No9 L" w:eastAsia="方正小标宋简体" w:cs="Nimbus Roman No9 L"/>
          <w:color w:val="auto"/>
          <w:sz w:val="44"/>
          <w:szCs w:val="44"/>
        </w:rPr>
      </w:pPr>
    </w:p>
    <w:p>
      <w:pPr>
        <w:keepNext w:val="0"/>
        <w:keepLines w:val="0"/>
        <w:pageBreakBefore w:val="0"/>
        <w:widowControl w:val="0"/>
        <w:kinsoku/>
        <w:wordWrap/>
        <w:overflowPunct/>
        <w:topLinePunct w:val="0"/>
        <w:autoSpaceDE/>
        <w:autoSpaceDN/>
        <w:bidi w:val="0"/>
        <w:adjustRightInd/>
        <w:snapToGrid w:val="0"/>
        <w:spacing w:line="580" w:lineRule="exact"/>
        <w:jc w:val="center"/>
        <w:textAlignment w:val="auto"/>
        <w:rPr>
          <w:rFonts w:hint="default" w:ascii="Nimbus Roman No9 L" w:hAnsi="Nimbus Roman No9 L" w:eastAsia="仿宋_GB2312" w:cs="Nimbus Roman No9 L"/>
          <w:color w:val="auto"/>
          <w:sz w:val="32"/>
          <w:szCs w:val="32"/>
        </w:rPr>
      </w:pPr>
      <w:r>
        <w:rPr>
          <w:rFonts w:hint="default" w:ascii="Nimbus Roman No9 L" w:hAnsi="Nimbus Roman No9 L" w:eastAsia="方正小标宋简体" w:cs="Nimbus Roman No9 L"/>
          <w:color w:val="auto"/>
          <w:sz w:val="44"/>
          <w:szCs w:val="44"/>
        </w:rPr>
        <w:t>天津市滨海新区中小企业发展“十四五”规划</w:t>
      </w:r>
      <w:r>
        <w:rPr>
          <w:rFonts w:hint="default" w:ascii="Nimbus Roman No9 L" w:hAnsi="Nimbus Roman No9 L" w:eastAsia="方正小标宋简体" w:cs="Nimbus Roman No9 L"/>
          <w:bCs/>
          <w:color w:val="auto"/>
          <w:sz w:val="44"/>
          <w:szCs w:val="44"/>
        </w:rPr>
        <w:br w:type="textWrapping"/>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Nimbus Roman No9 L" w:hAnsi="Nimbus Roman No9 L" w:eastAsia="仿宋_GB2312" w:cs="Nimbus Roman No9 L"/>
          <w:color w:val="auto"/>
          <w:sz w:val="32"/>
          <w:szCs w:val="32"/>
        </w:rPr>
      </w:pPr>
      <w:r>
        <w:rPr>
          <w:rFonts w:hint="default" w:ascii="Nimbus Roman No9 L" w:hAnsi="Nimbus Roman No9 L" w:eastAsia="仿宋_GB2312" w:cs="Nimbus Roman No9 L"/>
          <w:color w:val="auto"/>
          <w:sz w:val="32"/>
          <w:szCs w:val="32"/>
        </w:rPr>
        <w:t>“十四五”时期，是滨海新区在全面建成高质量小康社会的基础上，</w:t>
      </w:r>
      <w:r>
        <w:rPr>
          <w:rFonts w:hint="default" w:ascii="Nimbus Roman No9 L" w:hAnsi="Nimbus Roman No9 L" w:eastAsia="仿宋_GB2312" w:cs="Nimbus Roman No9 L"/>
          <w:color w:val="auto"/>
          <w:sz w:val="32"/>
          <w:szCs w:val="32"/>
          <w:highlight w:val="none"/>
        </w:rPr>
        <w:t>开启全面建设社会主义现代化先行区新征程的第一个五年。</w:t>
      </w:r>
      <w:r>
        <w:rPr>
          <w:rFonts w:hint="default" w:ascii="Nimbus Roman No9 L" w:hAnsi="Nimbus Roman No9 L" w:eastAsia="仿宋_GB2312" w:cs="Nimbus Roman No9 L"/>
          <w:color w:val="auto"/>
          <w:sz w:val="32"/>
          <w:szCs w:val="32"/>
        </w:rPr>
        <w:t>科学编制并有效实施《天津市滨海新区中小企业发展“十四五”规划》，对于落实“双城”发展布局，推进“二次创业”，实现新时代高质量发展，加快建设生态、智慧、港产城融合的宜居宜业美丽滨海新城具有重要意义。本规划主要依据《中华人民共和国中小企业促进法》《关于促进中小企业健康发展的指导意见》《关于健全支持中小企业发展制度的若干意见》《天津市促进中小企业发展条例》《天津市民营经济发展十四五规划》《天津市滨海新区国民经济和社会发展第十四个五年规划和二〇三五年远景目标纲要》等制定，是指导未来五年新区中小企业发展的行动纲领。</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0"/>
        <w:rPr>
          <w:rFonts w:hint="default" w:ascii="Nimbus Roman No9 L" w:hAnsi="Nimbus Roman No9 L" w:eastAsia="黑体" w:cs="Nimbus Roman No9 L"/>
          <w:color w:val="auto"/>
          <w:sz w:val="32"/>
          <w:szCs w:val="32"/>
        </w:rPr>
      </w:pPr>
      <w:bookmarkStart w:id="0" w:name="_Toc771515035_WPSOffice_Level1"/>
      <w:r>
        <w:rPr>
          <w:rFonts w:hint="default" w:ascii="Nimbus Roman No9 L" w:hAnsi="Nimbus Roman No9 L" w:eastAsia="黑体" w:cs="Nimbus Roman No9 L"/>
          <w:color w:val="auto"/>
          <w:sz w:val="32"/>
          <w:szCs w:val="32"/>
        </w:rPr>
        <w:t>一、发展基础和面临形势</w:t>
      </w:r>
      <w:bookmarkEnd w:id="0"/>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1"/>
        <w:rPr>
          <w:rFonts w:hint="default" w:ascii="Nimbus Roman No9 L" w:hAnsi="Nimbus Roman No9 L" w:eastAsia="楷体_GB2312" w:cs="Nimbus Roman No9 L"/>
          <w:color w:val="auto"/>
          <w:sz w:val="32"/>
          <w:szCs w:val="32"/>
        </w:rPr>
      </w:pPr>
      <w:bookmarkStart w:id="1" w:name="_Toc771515035_WPSOffice_Level2"/>
      <w:r>
        <w:rPr>
          <w:rFonts w:hint="default" w:ascii="Nimbus Roman No9 L" w:hAnsi="Nimbus Roman No9 L" w:eastAsia="楷体_GB2312" w:cs="Nimbus Roman No9 L"/>
          <w:color w:val="auto"/>
          <w:sz w:val="32"/>
          <w:szCs w:val="32"/>
        </w:rPr>
        <w:t>（一）发展基础</w:t>
      </w:r>
      <w:bookmarkEnd w:id="1"/>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Nimbus Roman No9 L" w:hAnsi="Nimbus Roman No9 L" w:eastAsia="仿宋_GB2312" w:cs="Nimbus Roman No9 L"/>
          <w:color w:val="auto"/>
          <w:sz w:val="32"/>
          <w:szCs w:val="32"/>
        </w:rPr>
      </w:pPr>
      <w:r>
        <w:rPr>
          <w:rFonts w:hint="default" w:ascii="Nimbus Roman No9 L" w:hAnsi="Nimbus Roman No9 L" w:eastAsia="仿宋_GB2312" w:cs="Nimbus Roman No9 L"/>
          <w:color w:val="auto"/>
          <w:sz w:val="32"/>
          <w:szCs w:val="32"/>
        </w:rPr>
        <w:t>“十三五”时期，面对错综复杂的国际环境和艰巨繁重的稳增长、促改革、调结构、惠民生、防风险任务，区委、区政府高度重视中小企业发展，逐步完善政策体系，不断加大支持力度，持续优化营商环境，中小企业在规模效益、社会贡献、创新能力、业态层次、结构优化等方面都取得突破性进展，企业活力和创造力得到进一步激发，为大力发展美丽“滨城”，加快建设生态、智慧、港产城融合的宜居宜业美丽滨海新城打下了坚实的基础。</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2" w:firstLineChars="200"/>
        <w:textAlignment w:val="auto"/>
        <w:rPr>
          <w:rFonts w:hint="default" w:ascii="Nimbus Roman No9 L" w:hAnsi="Nimbus Roman No9 L" w:eastAsia="仿宋_GB2312" w:cs="Nimbus Roman No9 L"/>
          <w:b/>
          <w:color w:val="auto"/>
          <w:sz w:val="32"/>
          <w:szCs w:val="32"/>
          <w:lang w:val="en-US" w:eastAsia="zh-CN"/>
        </w:rPr>
      </w:pPr>
      <w:r>
        <w:rPr>
          <w:rFonts w:hint="default" w:ascii="Nimbus Roman No9 L" w:hAnsi="Nimbus Roman No9 L" w:eastAsia="仿宋_GB2312" w:cs="Nimbus Roman No9 L"/>
          <w:b/>
          <w:color w:val="auto"/>
          <w:sz w:val="32"/>
          <w:szCs w:val="32"/>
          <w:lang w:val="en-US" w:eastAsia="zh-CN"/>
        </w:rPr>
        <w:t>1.市场发展潜力显著增强</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default" w:ascii="Nimbus Roman No9 L" w:hAnsi="Nimbus Roman No9 L" w:eastAsia="仿宋_GB2312" w:cs="Nimbus Roman No9 L"/>
          <w:color w:val="auto"/>
          <w:sz w:val="32"/>
          <w:szCs w:val="32"/>
          <w:highlight w:val="none"/>
          <w:lang w:val="en-US" w:eastAsia="zh-CN"/>
        </w:rPr>
      </w:pPr>
      <w:r>
        <w:rPr>
          <w:rFonts w:hint="default" w:ascii="Nimbus Roman No9 L" w:hAnsi="Nimbus Roman No9 L" w:eastAsia="仿宋_GB2312" w:cs="Nimbus Roman No9 L"/>
          <w:color w:val="auto"/>
          <w:sz w:val="32"/>
          <w:szCs w:val="32"/>
          <w:highlight w:val="none"/>
        </w:rPr>
        <w:t>2020年末，全区工商登记市场主体28万余户，其中中小微企业15万余户。全区规模以上中小工业企业1</w:t>
      </w:r>
      <w:r>
        <w:rPr>
          <w:rFonts w:hint="default" w:ascii="Nimbus Roman No9 L" w:hAnsi="Nimbus Roman No9 L" w:eastAsia="仿宋_GB2312" w:cs="Nimbus Roman No9 L"/>
          <w:color w:val="auto"/>
          <w:sz w:val="32"/>
          <w:szCs w:val="32"/>
          <w:highlight w:val="none"/>
          <w:lang w:val="en-US" w:eastAsia="zh-CN"/>
        </w:rPr>
        <w:t>183</w:t>
      </w:r>
      <w:r>
        <w:rPr>
          <w:rFonts w:hint="default" w:ascii="Nimbus Roman No9 L" w:hAnsi="Nimbus Roman No9 L" w:eastAsia="仿宋_GB2312" w:cs="Nimbus Roman No9 L"/>
          <w:color w:val="auto"/>
          <w:sz w:val="32"/>
          <w:szCs w:val="32"/>
          <w:highlight w:val="none"/>
        </w:rPr>
        <w:t>家，占规模以上工业企业数量的</w:t>
      </w:r>
      <w:r>
        <w:rPr>
          <w:rFonts w:hint="default" w:ascii="Nimbus Roman No9 L" w:hAnsi="Nimbus Roman No9 L" w:eastAsia="仿宋_GB2312" w:cs="Nimbus Roman No9 L"/>
          <w:color w:val="auto"/>
          <w:sz w:val="32"/>
          <w:szCs w:val="32"/>
          <w:highlight w:val="none"/>
          <w:lang w:val="en-US" w:eastAsia="zh-CN"/>
        </w:rPr>
        <w:t>95.1</w:t>
      </w:r>
      <w:r>
        <w:rPr>
          <w:rFonts w:hint="default" w:ascii="Nimbus Roman No9 L" w:hAnsi="Nimbus Roman No9 L" w:eastAsia="仿宋_GB2312" w:cs="Nimbus Roman No9 L"/>
          <w:color w:val="auto"/>
          <w:sz w:val="32"/>
          <w:szCs w:val="32"/>
          <w:highlight w:val="none"/>
        </w:rPr>
        <w:t>%；中小企业提供了80%以上的城镇就业岗位，成为就业主渠道</w:t>
      </w:r>
      <w:r>
        <w:rPr>
          <w:rFonts w:hint="default" w:ascii="Nimbus Roman No9 L" w:hAnsi="Nimbus Roman No9 L" w:eastAsia="仿宋_GB2312" w:cs="Nimbus Roman No9 L"/>
          <w:color w:val="auto"/>
          <w:sz w:val="32"/>
          <w:szCs w:val="32"/>
          <w:highlight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2" w:firstLineChars="200"/>
        <w:textAlignment w:val="auto"/>
        <w:rPr>
          <w:rFonts w:hint="default" w:ascii="Nimbus Roman No9 L" w:hAnsi="Nimbus Roman No9 L" w:eastAsia="仿宋_GB2312" w:cs="Nimbus Roman No9 L"/>
          <w:b/>
          <w:color w:val="auto"/>
          <w:sz w:val="32"/>
          <w:szCs w:val="32"/>
          <w:lang w:val="en-US" w:eastAsia="zh-CN"/>
        </w:rPr>
      </w:pPr>
      <w:r>
        <w:rPr>
          <w:rFonts w:hint="default" w:ascii="Nimbus Roman No9 L" w:hAnsi="Nimbus Roman No9 L" w:eastAsia="仿宋_GB2312" w:cs="Nimbus Roman No9 L"/>
          <w:b/>
          <w:color w:val="auto"/>
          <w:sz w:val="32"/>
          <w:szCs w:val="32"/>
          <w:lang w:val="en-US" w:eastAsia="zh-CN"/>
        </w:rPr>
        <w:t>2.创新主体实力持续提升</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default" w:ascii="Nimbus Roman No9 L" w:hAnsi="Nimbus Roman No9 L" w:eastAsia="仿宋_GB2312" w:cs="Nimbus Roman No9 L"/>
          <w:color w:val="auto"/>
          <w:sz w:val="32"/>
          <w:szCs w:val="32"/>
        </w:rPr>
      </w:pPr>
      <w:r>
        <w:rPr>
          <w:rFonts w:hint="default" w:ascii="Nimbus Roman No9 L" w:hAnsi="Nimbus Roman No9 L" w:eastAsia="仿宋_GB2312" w:cs="Nimbus Roman No9 L"/>
          <w:color w:val="auto"/>
          <w:sz w:val="32"/>
          <w:szCs w:val="32"/>
        </w:rPr>
        <w:t>创业领域不断拓宽，新业态、新模式不断涌现，累计推动中小企业实现创新转型2720家。截至2020年底，全区共有国家科技型中小企业3089家，天津市“专精特新”企业295家，国家专精特新</w:t>
      </w:r>
      <w:r>
        <w:rPr>
          <w:rFonts w:hint="default" w:ascii="Nimbus Roman No9 L" w:hAnsi="Nimbus Roman No9 L" w:eastAsia="仿宋_GB2312" w:cs="Nimbus Roman No9 L"/>
          <w:color w:val="auto"/>
          <w:sz w:val="32"/>
          <w:szCs w:val="32"/>
          <w:lang w:eastAsia="zh-CN"/>
        </w:rPr>
        <w:t>“</w:t>
      </w:r>
      <w:r>
        <w:rPr>
          <w:rFonts w:hint="default" w:ascii="Nimbus Roman No9 L" w:hAnsi="Nimbus Roman No9 L" w:eastAsia="仿宋_GB2312" w:cs="Nimbus Roman No9 L"/>
          <w:color w:val="auto"/>
          <w:sz w:val="32"/>
          <w:szCs w:val="32"/>
        </w:rPr>
        <w:t>小巨人</w:t>
      </w:r>
      <w:r>
        <w:rPr>
          <w:rFonts w:hint="default" w:ascii="Nimbus Roman No9 L" w:hAnsi="Nimbus Roman No9 L" w:eastAsia="仿宋_GB2312" w:cs="Nimbus Roman No9 L"/>
          <w:color w:val="auto"/>
          <w:sz w:val="32"/>
          <w:szCs w:val="32"/>
          <w:lang w:eastAsia="zh-CN"/>
        </w:rPr>
        <w:t>”</w:t>
      </w:r>
      <w:r>
        <w:rPr>
          <w:rFonts w:hint="default" w:ascii="Nimbus Roman No9 L" w:hAnsi="Nimbus Roman No9 L" w:eastAsia="仿宋_GB2312" w:cs="Nimbus Roman No9 L"/>
          <w:color w:val="auto"/>
          <w:sz w:val="32"/>
          <w:szCs w:val="32"/>
        </w:rPr>
        <w:t>企业20家，瞪羚企业138家，雏鹰企业1407家，全市占比均达</w:t>
      </w:r>
      <w:r>
        <w:rPr>
          <w:rFonts w:hint="default" w:ascii="Nimbus Roman No9 L" w:hAnsi="Nimbus Roman No9 L" w:eastAsia="仿宋_GB2312" w:cs="Nimbus Roman No9 L"/>
          <w:color w:val="auto"/>
          <w:sz w:val="32"/>
          <w:szCs w:val="32"/>
          <w:lang w:val="en-US" w:eastAsia="zh-CN"/>
        </w:rPr>
        <w:t>4</w:t>
      </w:r>
      <w:r>
        <w:rPr>
          <w:rFonts w:hint="default" w:ascii="Nimbus Roman No9 L" w:hAnsi="Nimbus Roman No9 L" w:eastAsia="仿宋_GB2312" w:cs="Nimbus Roman No9 L"/>
          <w:color w:val="auto"/>
          <w:sz w:val="32"/>
          <w:szCs w:val="32"/>
        </w:rPr>
        <w:t>0%左右。新业态新模式加速聚集。智能科技、生物医药、新能源、新材料产业扎实推进。智能科技产业迅速发展，初步形成了人工智能领域的智能安防、大数据、先进通信、智能网联车、工业机器人、智能终端等8条产业链。中小企业在产业链和创新链中的作用日益凸显，产业集群取得了快速发展。</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2" w:firstLineChars="200"/>
        <w:textAlignment w:val="auto"/>
        <w:rPr>
          <w:rFonts w:hint="default" w:ascii="Nimbus Roman No9 L" w:hAnsi="Nimbus Roman No9 L" w:eastAsia="仿宋_GB2312" w:cs="Nimbus Roman No9 L"/>
          <w:b/>
          <w:color w:val="auto"/>
          <w:sz w:val="32"/>
          <w:szCs w:val="32"/>
          <w:lang w:val="en-US" w:eastAsia="zh-CN"/>
        </w:rPr>
      </w:pPr>
      <w:r>
        <w:rPr>
          <w:rFonts w:hint="default" w:ascii="Nimbus Roman No9 L" w:hAnsi="Nimbus Roman No9 L" w:eastAsia="仿宋_GB2312" w:cs="Nimbus Roman No9 L"/>
          <w:b/>
          <w:color w:val="auto"/>
          <w:sz w:val="32"/>
          <w:szCs w:val="32"/>
          <w:lang w:val="en-US" w:eastAsia="zh-CN"/>
        </w:rPr>
        <w:t>3.智能应用水平不断提高</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default" w:ascii="Nimbus Roman No9 L" w:hAnsi="Nimbus Roman No9 L" w:eastAsia="仿宋_GB2312" w:cs="Nimbus Roman No9 L"/>
          <w:color w:val="auto"/>
          <w:sz w:val="32"/>
          <w:szCs w:val="32"/>
        </w:rPr>
      </w:pPr>
      <w:r>
        <w:rPr>
          <w:rFonts w:hint="default" w:ascii="Nimbus Roman No9 L" w:hAnsi="Nimbus Roman No9 L" w:eastAsia="仿宋_GB2312" w:cs="Nimbus Roman No9 L"/>
          <w:color w:val="auto"/>
          <w:sz w:val="32"/>
          <w:szCs w:val="32"/>
        </w:rPr>
        <w:t>中小企业信息化推进工程成效显著，电子商务等信息化应用不断扩展，研发、生产、财务、管理等各类软件及服务应用日益普及，两化融合进一步深化。中小企业信息化服务网络基本形成，每年开展近百余场宣传培训和应用推广等活动，参加线上线下培训的人数达万余人次。</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2" w:firstLineChars="200"/>
        <w:textAlignment w:val="auto"/>
        <w:rPr>
          <w:rFonts w:hint="default" w:ascii="Nimbus Roman No9 L" w:hAnsi="Nimbus Roman No9 L" w:eastAsia="仿宋_GB2312" w:cs="Nimbus Roman No9 L"/>
          <w:b/>
          <w:color w:val="auto"/>
          <w:sz w:val="32"/>
          <w:szCs w:val="32"/>
          <w:lang w:val="en-US" w:eastAsia="zh-CN"/>
        </w:rPr>
      </w:pPr>
      <w:r>
        <w:rPr>
          <w:rFonts w:hint="default" w:ascii="Nimbus Roman No9 L" w:hAnsi="Nimbus Roman No9 L" w:eastAsia="仿宋_GB2312" w:cs="Nimbus Roman No9 L"/>
          <w:b/>
          <w:color w:val="auto"/>
          <w:sz w:val="32"/>
          <w:szCs w:val="32"/>
          <w:lang w:val="en-US" w:eastAsia="zh-CN"/>
        </w:rPr>
        <w:t>4.创新服务体系日趋完善</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Nimbus Roman No9 L" w:hAnsi="Nimbus Roman No9 L" w:eastAsia="仿宋_GB2312" w:cs="Nimbus Roman No9 L"/>
          <w:color w:val="auto"/>
          <w:sz w:val="32"/>
          <w:szCs w:val="32"/>
        </w:rPr>
      </w:pPr>
      <w:r>
        <w:rPr>
          <w:rFonts w:hint="default" w:ascii="Nimbus Roman No9 L" w:hAnsi="Nimbus Roman No9 L" w:eastAsia="仿宋_GB2312" w:cs="Nimbus Roman No9 L"/>
          <w:color w:val="auto"/>
          <w:sz w:val="32"/>
          <w:szCs w:val="32"/>
        </w:rPr>
        <w:t>切实推动大众创业、万众创新，进一步营造中小企业的良好环境，引导和支持各类创新示范基地和平台按照新发展理念发展，培育一批基础设施完备、综合服务规范、示范带动作用强的小型微型企业创业创新示范基地和公共服务示范平台。截至2020年底，全区共有市级小型微型企业创业创新示范基地11家，其中国家级2家；市级中小企业公共服务示范平台12家，其中</w:t>
      </w:r>
      <w:r>
        <w:rPr>
          <w:rFonts w:hint="default" w:ascii="Nimbus Roman No9 L" w:hAnsi="Nimbus Roman No9 L" w:eastAsia="仿宋_GB2312" w:cs="Nimbus Roman No9 L"/>
          <w:color w:val="auto"/>
          <w:sz w:val="32"/>
          <w:szCs w:val="32"/>
          <w:lang w:eastAsia="zh-CN"/>
        </w:rPr>
        <w:t>市级</w:t>
      </w:r>
      <w:r>
        <w:rPr>
          <w:rFonts w:hint="default" w:ascii="Nimbus Roman No9 L" w:hAnsi="Nimbus Roman No9 L" w:eastAsia="仿宋_GB2312" w:cs="Nimbus Roman No9 L"/>
          <w:color w:val="auto"/>
          <w:sz w:val="32"/>
          <w:szCs w:val="32"/>
          <w:lang w:val="en-US" w:eastAsia="zh-CN"/>
        </w:rPr>
        <w:t>10</w:t>
      </w:r>
      <w:r>
        <w:rPr>
          <w:rFonts w:hint="default" w:ascii="Nimbus Roman No9 L" w:hAnsi="Nimbus Roman No9 L" w:eastAsia="仿宋_GB2312" w:cs="Nimbus Roman No9 L"/>
          <w:color w:val="auto"/>
          <w:sz w:val="32"/>
          <w:szCs w:val="32"/>
          <w:lang w:eastAsia="zh-CN"/>
        </w:rPr>
        <w:t>家，</w:t>
      </w:r>
      <w:r>
        <w:rPr>
          <w:rFonts w:hint="default" w:ascii="Nimbus Roman No9 L" w:hAnsi="Nimbus Roman No9 L" w:eastAsia="仿宋_GB2312" w:cs="Nimbus Roman No9 L"/>
          <w:color w:val="auto"/>
          <w:sz w:val="32"/>
          <w:szCs w:val="32"/>
        </w:rPr>
        <w:t>国家级7家。形成了较为完善的创新服务体系。</w:t>
      </w:r>
    </w:p>
    <w:p>
      <w:pPr>
        <w:keepNext w:val="0"/>
        <w:keepLines w:val="0"/>
        <w:pageBreakBefore w:val="0"/>
        <w:widowControl w:val="0"/>
        <w:kinsoku/>
        <w:wordWrap/>
        <w:overflowPunct/>
        <w:topLinePunct w:val="0"/>
        <w:autoSpaceDE/>
        <w:autoSpaceDN/>
        <w:bidi w:val="0"/>
        <w:adjustRightInd/>
        <w:snapToGrid/>
        <w:spacing w:line="580" w:lineRule="exact"/>
        <w:ind w:firstLine="642" w:firstLineChars="200"/>
        <w:textAlignment w:val="auto"/>
        <w:rPr>
          <w:rFonts w:hint="default" w:ascii="Nimbus Roman No9 L" w:hAnsi="Nimbus Roman No9 L" w:eastAsia="仿宋_GB2312" w:cs="Nimbus Roman No9 L"/>
          <w:b/>
          <w:color w:val="auto"/>
          <w:sz w:val="32"/>
          <w:szCs w:val="32"/>
        </w:rPr>
      </w:pPr>
      <w:r>
        <w:rPr>
          <w:rFonts w:hint="default" w:ascii="Nimbus Roman No9 L" w:hAnsi="Nimbus Roman No9 L" w:eastAsia="仿宋_GB2312" w:cs="Nimbus Roman No9 L"/>
          <w:b/>
          <w:color w:val="auto"/>
          <w:sz w:val="32"/>
          <w:szCs w:val="32"/>
          <w:lang w:val="en-US" w:eastAsia="zh-CN"/>
        </w:rPr>
        <w:t>5.</w:t>
      </w:r>
      <w:r>
        <w:rPr>
          <w:rFonts w:hint="default" w:ascii="Nimbus Roman No9 L" w:hAnsi="Nimbus Roman No9 L" w:eastAsia="仿宋_GB2312" w:cs="Nimbus Roman No9 L"/>
          <w:b/>
          <w:color w:val="auto"/>
          <w:sz w:val="32"/>
          <w:szCs w:val="32"/>
        </w:rPr>
        <w:t>营商环境水平显著改善</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Nimbus Roman No9 L" w:hAnsi="Nimbus Roman No9 L" w:eastAsia="仿宋_GB2312" w:cs="Nimbus Roman No9 L"/>
          <w:color w:val="auto"/>
          <w:sz w:val="32"/>
          <w:szCs w:val="32"/>
        </w:rPr>
      </w:pPr>
      <w:r>
        <w:rPr>
          <w:rFonts w:hint="default" w:ascii="Nimbus Roman No9 L" w:hAnsi="Nimbus Roman No9 L" w:eastAsia="仿宋_GB2312" w:cs="Nimbus Roman No9 L"/>
          <w:color w:val="auto"/>
          <w:sz w:val="32"/>
          <w:szCs w:val="32"/>
        </w:rPr>
        <w:t>在国家级新区营商环境考核评价中处于前列，“不为不办找理由、只为办好想办法”深入人心。持续深化“放管服”改革，承接市级事权622项，凡开发区能承接的全部下放，实现“滨海事滨海办”。295个审批事项全部下沉街镇，实现“滨海通办、滨海统办”。深化“一制三化”改革，政务服务事项“一网通办”“最多跑一次”成为常态。全国首创信用承诺审批分级管理，率先推行“一企一证”综合改革。法治环境明显改善。打造政企对接平台，倾听企业家心声，关爱企业家生活，帮助企业解决困难，促进政企关系亲密和谐。深入企业、深入项目一线，围绕满足企业需求服务，围绕构建“亲”“清”政商关系服务，围绕助推企业发展，提供实效服务，真心实意为企业解难题、办实事。</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1"/>
        <w:rPr>
          <w:rFonts w:hint="default" w:ascii="Nimbus Roman No9 L" w:hAnsi="Nimbus Roman No9 L" w:eastAsia="楷体_GB2312" w:cs="Nimbus Roman No9 L"/>
          <w:color w:val="auto"/>
          <w:sz w:val="32"/>
          <w:szCs w:val="32"/>
        </w:rPr>
      </w:pPr>
      <w:bookmarkStart w:id="2" w:name="_Toc76348228_WPSOffice_Level2"/>
      <w:r>
        <w:rPr>
          <w:rFonts w:hint="default" w:ascii="Nimbus Roman No9 L" w:hAnsi="Nimbus Roman No9 L" w:eastAsia="楷体_GB2312" w:cs="Nimbus Roman No9 L"/>
          <w:color w:val="auto"/>
          <w:sz w:val="32"/>
          <w:szCs w:val="32"/>
        </w:rPr>
        <w:t>（二）面临形势</w:t>
      </w:r>
      <w:bookmarkEnd w:id="2"/>
    </w:p>
    <w:p>
      <w:pPr>
        <w:keepNext w:val="0"/>
        <w:keepLines w:val="0"/>
        <w:pageBreakBefore w:val="0"/>
        <w:widowControl/>
        <w:shd w:val="clear" w:color="auto" w:fill="FFFFFF"/>
        <w:kinsoku/>
        <w:wordWrap/>
        <w:overflowPunct/>
        <w:topLinePunct w:val="0"/>
        <w:autoSpaceDE/>
        <w:autoSpaceDN/>
        <w:bidi w:val="0"/>
        <w:adjustRightInd/>
        <w:snapToGrid/>
        <w:spacing w:line="580" w:lineRule="exact"/>
        <w:ind w:firstLine="480"/>
        <w:jc w:val="left"/>
        <w:textAlignment w:val="auto"/>
        <w:rPr>
          <w:rFonts w:hint="default" w:ascii="Nimbus Roman No9 L" w:hAnsi="Nimbus Roman No9 L" w:eastAsia="仿宋_GB2312" w:cs="Nimbus Roman No9 L"/>
          <w:color w:val="auto"/>
          <w:sz w:val="32"/>
          <w:szCs w:val="32"/>
        </w:rPr>
      </w:pPr>
      <w:r>
        <w:rPr>
          <w:rFonts w:hint="default" w:ascii="Nimbus Roman No9 L" w:hAnsi="Nimbus Roman No9 L" w:eastAsia="仿宋_GB2312" w:cs="Nimbus Roman No9 L"/>
          <w:color w:val="auto"/>
          <w:sz w:val="32"/>
          <w:szCs w:val="32"/>
        </w:rPr>
        <w:t>“十四五”时期，国内外经济发展形势依然错综复杂。从国际看，世界正经历百年未有之大变局。全球政治经济格局加速演变，国际力量对比深刻调整，新冠肺炎疫情影响广泛深远，经济全球化遭遇逆流，世界进入动荡变革期，新一轮科技革命和产业变革加速，科技革命呈现多点突破</w:t>
      </w:r>
      <w:r>
        <w:rPr>
          <w:rFonts w:hint="default" w:ascii="Nimbus Roman No9 L" w:hAnsi="Nimbus Roman No9 L" w:eastAsia="仿宋_GB2312" w:cs="Nimbus Roman No9 L"/>
          <w:color w:val="auto"/>
          <w:sz w:val="32"/>
          <w:szCs w:val="32"/>
          <w:lang w:eastAsia="zh-CN"/>
        </w:rPr>
        <w:t>、</w:t>
      </w:r>
      <w:r>
        <w:rPr>
          <w:rFonts w:hint="default" w:ascii="Nimbus Roman No9 L" w:hAnsi="Nimbus Roman No9 L" w:eastAsia="仿宋_GB2312" w:cs="Nimbus Roman No9 L"/>
          <w:color w:val="auto"/>
          <w:sz w:val="32"/>
          <w:szCs w:val="32"/>
        </w:rPr>
        <w:t>交叉汇聚的态势，世界科技竞争和产业竞争格局面临深刻变化。从国内看，我国正处在转变发展方式、优化经济结构、转换增长动力的关键时期，由高速增长转向高质量发展，以国内大循环为主体、国内国际双循环相互促进的新发展格局将逐步形成,中小企业发展新空间将不断扩展。</w:t>
      </w:r>
    </w:p>
    <w:p>
      <w:pPr>
        <w:keepNext w:val="0"/>
        <w:keepLines w:val="0"/>
        <w:pageBreakBefore w:val="0"/>
        <w:widowControl/>
        <w:shd w:val="clear" w:color="auto" w:fill="FFFFFF"/>
        <w:kinsoku/>
        <w:wordWrap/>
        <w:overflowPunct/>
        <w:topLinePunct w:val="0"/>
        <w:autoSpaceDE/>
        <w:autoSpaceDN/>
        <w:bidi w:val="0"/>
        <w:adjustRightInd/>
        <w:snapToGrid/>
        <w:spacing w:line="580" w:lineRule="exact"/>
        <w:ind w:firstLine="640" w:firstLineChars="200"/>
        <w:jc w:val="left"/>
        <w:textAlignment w:val="auto"/>
        <w:rPr>
          <w:rFonts w:hint="default" w:ascii="Nimbus Roman No9 L" w:hAnsi="Nimbus Roman No9 L" w:eastAsia="仿宋_GB2312" w:cs="Nimbus Roman No9 L"/>
          <w:color w:val="auto"/>
          <w:sz w:val="32"/>
          <w:szCs w:val="32"/>
        </w:rPr>
      </w:pPr>
      <w:r>
        <w:rPr>
          <w:rFonts w:hint="default" w:ascii="Nimbus Roman No9 L" w:hAnsi="Nimbus Roman No9 L" w:eastAsia="仿宋_GB2312" w:cs="Nimbus Roman No9 L"/>
          <w:color w:val="auto"/>
          <w:sz w:val="32"/>
          <w:szCs w:val="32"/>
        </w:rPr>
        <w:t>新常态对经济发展带来新挑战，中小企业遇到的困难和问题尤为突出。企业数量、规模与国内发达地区差距较大，街镇经济发展水平滞后，行业领军企业不多，营商环境水平有待提高，产业链不完整，产业聚集度低，科技创新能力不足，能源、环保、土地等要素成本持续维持高位，招工难、用工贵以及融资难融资贵等问题有待缓解，高端人才稀缺，存在高耗低效、产能过剩、产品同质化严重等问题，盈利能力较弱，数字化转型、智能制造等新动能拉动作用不明显。</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Nimbus Roman No9 L" w:hAnsi="Nimbus Roman No9 L" w:eastAsia="仿宋_GB2312" w:cs="Nimbus Roman No9 L"/>
          <w:color w:val="auto"/>
          <w:sz w:val="32"/>
          <w:szCs w:val="32"/>
        </w:rPr>
      </w:pPr>
      <w:r>
        <w:rPr>
          <w:rFonts w:hint="default" w:ascii="Nimbus Roman No9 L" w:hAnsi="Nimbus Roman No9 L" w:eastAsia="仿宋_GB2312" w:cs="Nimbus Roman No9 L"/>
          <w:color w:val="auto"/>
          <w:sz w:val="32"/>
          <w:szCs w:val="32"/>
        </w:rPr>
        <w:t>“十四五”时期，中小企业发展面临挑战的同时，也面临着重大机遇。中小企业发展的市场环境、政策环境和服务环境将更加优化。以互联网为核心的信息技术与各行各业深度融合，日益增长的个性化、多样化需求，不断催生新产品、新业态、新市场和新模式，为中小企业提供广阔的创新发展空间。从我市看，围绕“一基地三区”功能定位，京津冀协同发展有助于中小企业承接首都高端制造业和生产性服务业项目，建设自主创新示范区有助于中小企业集聚高端要素打造“专精特新”升级版。同时，随着我市国企混改的不断推进，有实力的中小企业深度参与国企混改的机遇凸显。</w:t>
      </w:r>
    </w:p>
    <w:p>
      <w:pPr>
        <w:keepNext w:val="0"/>
        <w:keepLines w:val="0"/>
        <w:pageBreakBefore w:val="0"/>
        <w:widowControl/>
        <w:shd w:val="clear" w:color="auto" w:fill="FFFFFF"/>
        <w:kinsoku/>
        <w:wordWrap/>
        <w:overflowPunct/>
        <w:topLinePunct w:val="0"/>
        <w:autoSpaceDE/>
        <w:autoSpaceDN/>
        <w:bidi w:val="0"/>
        <w:adjustRightInd/>
        <w:snapToGrid/>
        <w:spacing w:line="580" w:lineRule="exact"/>
        <w:ind w:firstLine="640" w:firstLineChars="200"/>
        <w:jc w:val="left"/>
        <w:textAlignment w:val="auto"/>
        <w:rPr>
          <w:rFonts w:hint="default" w:ascii="Nimbus Roman No9 L" w:hAnsi="Nimbus Roman No9 L" w:eastAsia="仿宋_GB2312" w:cs="Nimbus Roman No9 L"/>
          <w:color w:val="auto"/>
          <w:sz w:val="32"/>
          <w:szCs w:val="32"/>
        </w:rPr>
      </w:pPr>
      <w:r>
        <w:rPr>
          <w:rFonts w:hint="default" w:ascii="Nimbus Roman No9 L" w:hAnsi="Nimbus Roman No9 L" w:eastAsia="仿宋_GB2312" w:cs="Nimbus Roman No9 L"/>
          <w:color w:val="auto"/>
          <w:sz w:val="32"/>
          <w:szCs w:val="32"/>
        </w:rPr>
        <w:t>综合判断，“十四五”时期，新区中小企业发展仍处于大有可为的重要战略机遇期。要准确把握国内外发展形势，利用好国际国内两个市场、两种资源，抓住发展机遇，转变发展方式，提高发展质量，依靠创业创新开辟发展新路径，赢得发展主动权，实现发展新突破。</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0"/>
        <w:rPr>
          <w:rFonts w:hint="default" w:ascii="Nimbus Roman No9 L" w:hAnsi="Nimbus Roman No9 L" w:eastAsia="黑体" w:cs="Nimbus Roman No9 L"/>
          <w:b w:val="0"/>
          <w:bCs w:val="0"/>
          <w:color w:val="auto"/>
          <w:sz w:val="32"/>
          <w:szCs w:val="32"/>
        </w:rPr>
      </w:pPr>
      <w:bookmarkStart w:id="3" w:name="_Toc76348228_WPSOffice_Level1"/>
      <w:r>
        <w:rPr>
          <w:rFonts w:hint="default" w:ascii="Nimbus Roman No9 L" w:hAnsi="Nimbus Roman No9 L" w:eastAsia="黑体" w:cs="Nimbus Roman No9 L"/>
          <w:b w:val="0"/>
          <w:bCs w:val="0"/>
          <w:color w:val="auto"/>
          <w:sz w:val="32"/>
          <w:szCs w:val="32"/>
        </w:rPr>
        <w:t>二、指导思想和发展目标</w:t>
      </w:r>
      <w:bookmarkEnd w:id="3"/>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1"/>
        <w:rPr>
          <w:rFonts w:hint="default" w:ascii="Nimbus Roman No9 L" w:hAnsi="Nimbus Roman No9 L" w:eastAsia="楷体_GB2312" w:cs="Nimbus Roman No9 L"/>
          <w:color w:val="auto"/>
          <w:sz w:val="32"/>
          <w:szCs w:val="32"/>
        </w:rPr>
      </w:pPr>
      <w:bookmarkStart w:id="4" w:name="_Toc1984966335_WPSOffice_Level2"/>
      <w:r>
        <w:rPr>
          <w:rFonts w:hint="default" w:ascii="Nimbus Roman No9 L" w:hAnsi="Nimbus Roman No9 L" w:eastAsia="楷体_GB2312" w:cs="Nimbus Roman No9 L"/>
          <w:color w:val="auto"/>
          <w:sz w:val="32"/>
          <w:szCs w:val="32"/>
        </w:rPr>
        <w:t>（一）指导思想</w:t>
      </w:r>
      <w:bookmarkEnd w:id="4"/>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Nimbus Roman No9 L" w:hAnsi="Nimbus Roman No9 L" w:eastAsia="仿宋_GB2312" w:cs="Nimbus Roman No9 L"/>
          <w:color w:val="auto"/>
          <w:sz w:val="32"/>
          <w:szCs w:val="32"/>
        </w:rPr>
      </w:pPr>
      <w:r>
        <w:rPr>
          <w:rFonts w:hint="default" w:ascii="Nimbus Roman No9 L" w:hAnsi="Nimbus Roman No9 L" w:eastAsia="仿宋_GB2312" w:cs="Nimbus Roman No9 L"/>
          <w:color w:val="auto"/>
          <w:sz w:val="32"/>
          <w:szCs w:val="32"/>
        </w:rPr>
        <w:t>以习近平新时代中国特色社会主义思想为指导，全面贯彻党的十九大和十九届二中、三中、四中、五中全会精神，深入落实习近平总书记对天津工作提出的“三个着力”重要要求和一系列重要指示批示精神，坚持“两个毫不动摇”，坚持稳中求进工作总基调，牢固树立并切实贯彻创新、协调、绿色、开放、共享的发展理念，以供给侧机构性改革为主线，以提高发展质量和效益为中心。以“滨城”建设为统领，抢抓京津冀协同发展重大机遇，围绕“一基地三区”功能定位，坚持“创新立区”“制造强区”发展战略，构建“1+3+4”产业体系，培育新增量、新动能，提升企业市场竞争力，打造全国一流创新服务环境，为建设生态、智慧、港产城融合的宜居宜业美丽滨海新城，实现高质量发展提供产业支撑。</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1"/>
        <w:rPr>
          <w:rFonts w:hint="default" w:ascii="Nimbus Roman No9 L" w:hAnsi="Nimbus Roman No9 L" w:eastAsia="楷体_GB2312" w:cs="Nimbus Roman No9 L"/>
          <w:color w:val="auto"/>
          <w:sz w:val="32"/>
          <w:szCs w:val="32"/>
          <w:lang w:eastAsia="zh-CN"/>
        </w:rPr>
      </w:pPr>
      <w:r>
        <w:rPr>
          <w:rFonts w:hint="default" w:ascii="Nimbus Roman No9 L" w:hAnsi="Nimbus Roman No9 L" w:eastAsia="楷体_GB2312" w:cs="Nimbus Roman No9 L"/>
          <w:color w:val="auto"/>
          <w:sz w:val="32"/>
          <w:szCs w:val="32"/>
          <w:lang w:eastAsia="zh-CN"/>
        </w:rPr>
        <w:t>（二）基本原则</w:t>
      </w:r>
    </w:p>
    <w:p>
      <w:pPr>
        <w:keepNext w:val="0"/>
        <w:keepLines w:val="0"/>
        <w:pageBreakBefore w:val="0"/>
        <w:widowControl/>
        <w:shd w:val="clear" w:color="auto" w:fill="FFFFFF"/>
        <w:kinsoku/>
        <w:wordWrap/>
        <w:overflowPunct/>
        <w:topLinePunct w:val="0"/>
        <w:autoSpaceDE/>
        <w:autoSpaceDN/>
        <w:bidi w:val="0"/>
        <w:adjustRightInd/>
        <w:snapToGrid/>
        <w:spacing w:line="580" w:lineRule="exact"/>
        <w:ind w:firstLine="640" w:firstLineChars="200"/>
        <w:jc w:val="left"/>
        <w:textAlignment w:val="auto"/>
        <w:rPr>
          <w:rFonts w:hint="default" w:ascii="Nimbus Roman No9 L" w:hAnsi="Nimbus Roman No9 L" w:eastAsia="仿宋_GB2312" w:cs="Nimbus Roman No9 L"/>
          <w:color w:val="auto"/>
          <w:sz w:val="32"/>
          <w:szCs w:val="32"/>
        </w:rPr>
      </w:pPr>
      <w:r>
        <w:rPr>
          <w:rFonts w:hint="default" w:ascii="Nimbus Roman No9 L" w:hAnsi="Nimbus Roman No9 L" w:eastAsia="仿宋_GB2312" w:cs="Nimbus Roman No9 L"/>
          <w:color w:val="auto"/>
          <w:sz w:val="32"/>
          <w:szCs w:val="32"/>
        </w:rPr>
        <w:t>——坚持创新驱动，推动转型。以众智促创新，鼓励加快中小企业从物质要素投入为主向创新驱动为主转变，推动中小企业新旧动能转换和转型升级，增强市场竞争力。</w:t>
      </w:r>
    </w:p>
    <w:p>
      <w:pPr>
        <w:keepNext w:val="0"/>
        <w:keepLines w:val="0"/>
        <w:pageBreakBefore w:val="0"/>
        <w:widowControl/>
        <w:shd w:val="clear" w:color="auto" w:fill="FFFFFF"/>
        <w:kinsoku/>
        <w:wordWrap/>
        <w:overflowPunct/>
        <w:topLinePunct w:val="0"/>
        <w:autoSpaceDE/>
        <w:autoSpaceDN/>
        <w:bidi w:val="0"/>
        <w:adjustRightInd/>
        <w:snapToGrid/>
        <w:spacing w:line="580" w:lineRule="exact"/>
        <w:ind w:firstLine="640" w:firstLineChars="200"/>
        <w:jc w:val="left"/>
        <w:textAlignment w:val="auto"/>
        <w:rPr>
          <w:rFonts w:hint="default" w:ascii="Nimbus Roman No9 L" w:hAnsi="Nimbus Roman No9 L" w:eastAsia="仿宋_GB2312" w:cs="Nimbus Roman No9 L"/>
          <w:color w:val="auto"/>
          <w:sz w:val="32"/>
          <w:szCs w:val="32"/>
        </w:rPr>
      </w:pPr>
      <w:r>
        <w:rPr>
          <w:rFonts w:hint="default" w:ascii="Nimbus Roman No9 L" w:hAnsi="Nimbus Roman No9 L" w:eastAsia="仿宋_GB2312" w:cs="Nimbus Roman No9 L"/>
          <w:color w:val="auto"/>
          <w:sz w:val="32"/>
          <w:szCs w:val="32"/>
        </w:rPr>
        <w:t>——坚持优化结构，提质增效。促进中小企业改变粗放型发展模式和管理方式，补齐生态环境保护不足和区域发展不协调的短板，走绿色、协调和可持续发展道路，不断优化供给结构，提高发展质量和效益。</w:t>
      </w:r>
    </w:p>
    <w:p>
      <w:pPr>
        <w:keepNext w:val="0"/>
        <w:keepLines w:val="0"/>
        <w:pageBreakBefore w:val="0"/>
        <w:widowControl/>
        <w:shd w:val="clear" w:color="auto" w:fill="FFFFFF"/>
        <w:kinsoku/>
        <w:wordWrap/>
        <w:overflowPunct/>
        <w:topLinePunct w:val="0"/>
        <w:autoSpaceDE/>
        <w:autoSpaceDN/>
        <w:bidi w:val="0"/>
        <w:adjustRightInd/>
        <w:snapToGrid/>
        <w:spacing w:line="580" w:lineRule="exact"/>
        <w:ind w:firstLine="640" w:firstLineChars="200"/>
        <w:jc w:val="left"/>
        <w:textAlignment w:val="auto"/>
        <w:rPr>
          <w:rFonts w:hint="default" w:ascii="Nimbus Roman No9 L" w:hAnsi="Nimbus Roman No9 L" w:eastAsia="仿宋_GB2312" w:cs="Nimbus Roman No9 L"/>
          <w:color w:val="auto"/>
          <w:sz w:val="32"/>
          <w:szCs w:val="32"/>
        </w:rPr>
      </w:pPr>
      <w:r>
        <w:rPr>
          <w:rFonts w:hint="default" w:ascii="Nimbus Roman No9 L" w:hAnsi="Nimbus Roman No9 L" w:eastAsia="仿宋_GB2312" w:cs="Nimbus Roman No9 L"/>
          <w:color w:val="auto"/>
          <w:sz w:val="32"/>
          <w:szCs w:val="32"/>
        </w:rPr>
        <w:t>——坚持创业发展，促进就业。把推动创业兴业作为打造经济增长新引擎、培育壮大市场主体、促进就业的一项重要举措。大力扶持小微企业，扩大就业规模。以众创促创业，弘扬创业精神，培育创业主体，完善创业服务，提高创业兴业能力和吸纳就业能力。</w:t>
      </w:r>
    </w:p>
    <w:p>
      <w:pPr>
        <w:keepNext w:val="0"/>
        <w:keepLines w:val="0"/>
        <w:pageBreakBefore w:val="0"/>
        <w:widowControl/>
        <w:shd w:val="clear" w:color="auto" w:fill="FFFFFF"/>
        <w:kinsoku/>
        <w:wordWrap/>
        <w:overflowPunct/>
        <w:topLinePunct w:val="0"/>
        <w:autoSpaceDE/>
        <w:autoSpaceDN/>
        <w:bidi w:val="0"/>
        <w:adjustRightInd/>
        <w:snapToGrid/>
        <w:spacing w:line="580" w:lineRule="exact"/>
        <w:ind w:firstLine="640" w:firstLineChars="200"/>
        <w:jc w:val="left"/>
        <w:textAlignment w:val="auto"/>
        <w:rPr>
          <w:rFonts w:hint="default" w:ascii="Nimbus Roman No9 L" w:hAnsi="Nimbus Roman No9 L" w:eastAsia="仿宋_GB2312" w:cs="Nimbus Roman No9 L"/>
          <w:color w:val="auto"/>
          <w:sz w:val="32"/>
          <w:szCs w:val="32"/>
        </w:rPr>
      </w:pPr>
      <w:r>
        <w:rPr>
          <w:rFonts w:hint="default" w:ascii="Nimbus Roman No9 L" w:hAnsi="Nimbus Roman No9 L" w:eastAsia="仿宋_GB2312" w:cs="Nimbus Roman No9 L"/>
          <w:color w:val="auto"/>
          <w:sz w:val="32"/>
          <w:szCs w:val="32"/>
        </w:rPr>
        <w:t>——坚持推进改革，营造环境。充分发挥市场在资源配置中的决定性作用，破除各类体制机制障碍，不断改进服务方式，提高政府管理与公共服务能力，降低企业成本、减轻企业负担，营造更加有利于中小企业的发展环境。</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1"/>
        <w:rPr>
          <w:rFonts w:hint="default" w:ascii="Nimbus Roman No9 L" w:hAnsi="Nimbus Roman No9 L" w:eastAsia="楷体_GB2312" w:cs="Nimbus Roman No9 L"/>
          <w:color w:val="auto"/>
          <w:sz w:val="32"/>
          <w:szCs w:val="32"/>
          <w:lang w:eastAsia="zh-CN"/>
        </w:rPr>
      </w:pPr>
      <w:bookmarkStart w:id="5" w:name="_Toc1662947068_WPSOffice_Level2"/>
      <w:r>
        <w:rPr>
          <w:rFonts w:hint="default" w:ascii="Nimbus Roman No9 L" w:hAnsi="Nimbus Roman No9 L" w:eastAsia="楷体_GB2312" w:cs="Nimbus Roman No9 L"/>
          <w:color w:val="auto"/>
          <w:sz w:val="32"/>
          <w:szCs w:val="32"/>
          <w:lang w:eastAsia="zh-CN"/>
        </w:rPr>
        <w:t>（三）发展目标</w:t>
      </w:r>
      <w:bookmarkEnd w:id="5"/>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Nimbus Roman No9 L" w:hAnsi="Nimbus Roman No9 L" w:eastAsia="仿宋_GB2312" w:cs="Nimbus Roman No9 L"/>
          <w:color w:val="auto"/>
          <w:sz w:val="32"/>
          <w:szCs w:val="32"/>
        </w:rPr>
      </w:pPr>
      <w:r>
        <w:rPr>
          <w:rFonts w:hint="default" w:ascii="Nimbus Roman No9 L" w:hAnsi="Nimbus Roman No9 L" w:eastAsia="仿宋_GB2312" w:cs="Nimbus Roman No9 L"/>
          <w:color w:val="auto"/>
          <w:sz w:val="32"/>
          <w:szCs w:val="32"/>
        </w:rPr>
        <w:t>到2025年，中小企业保持平稳较快发展，创业创新活力进一步增强，产业结构布局明显优化，整体发展质量全面提升，发展环境持续改善，经济社会贡献更加突出，成为产业转型升级的主力军、社会和谐发展的稳定器。</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2" w:firstLineChars="200"/>
        <w:textAlignment w:val="auto"/>
        <w:rPr>
          <w:rFonts w:hint="default" w:ascii="Nimbus Roman No9 L" w:hAnsi="Nimbus Roman No9 L" w:eastAsia="仿宋_GB2312" w:cs="Nimbus Roman No9 L"/>
          <w:b/>
          <w:color w:val="auto"/>
          <w:sz w:val="32"/>
          <w:szCs w:val="32"/>
        </w:rPr>
      </w:pPr>
      <w:bookmarkStart w:id="6" w:name="_Toc648831115_WPSOffice_Level3"/>
      <w:r>
        <w:rPr>
          <w:rFonts w:hint="default" w:ascii="Nimbus Roman No9 L" w:hAnsi="Nimbus Roman No9 L" w:eastAsia="仿宋_GB2312" w:cs="Nimbus Roman No9 L"/>
          <w:b/>
          <w:color w:val="auto"/>
          <w:sz w:val="32"/>
          <w:szCs w:val="32"/>
          <w:lang w:val="en-US" w:eastAsia="zh-CN"/>
        </w:rPr>
        <w:t>1.</w:t>
      </w:r>
      <w:r>
        <w:rPr>
          <w:rFonts w:hint="default" w:ascii="Nimbus Roman No9 L" w:hAnsi="Nimbus Roman No9 L" w:eastAsia="仿宋_GB2312" w:cs="Nimbus Roman No9 L"/>
          <w:b/>
          <w:color w:val="auto"/>
          <w:sz w:val="32"/>
          <w:szCs w:val="32"/>
        </w:rPr>
        <w:t>总量规模目标</w:t>
      </w:r>
      <w:bookmarkEnd w:id="6"/>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default" w:ascii="Nimbus Roman No9 L" w:hAnsi="Nimbus Roman No9 L" w:eastAsia="仿宋_GB2312" w:cs="Nimbus Roman No9 L"/>
          <w:color w:val="auto"/>
          <w:sz w:val="32"/>
          <w:szCs w:val="32"/>
        </w:rPr>
      </w:pPr>
      <w:r>
        <w:rPr>
          <w:rFonts w:hint="default" w:ascii="Nimbus Roman No9 L" w:hAnsi="Nimbus Roman No9 L" w:eastAsia="仿宋_GB2312" w:cs="Nimbus Roman No9 L"/>
          <w:color w:val="auto"/>
          <w:sz w:val="32"/>
          <w:szCs w:val="32"/>
        </w:rPr>
        <w:t>中小企业市场主体达20万户以上，年均增长6%，其中民营企业达18万户以上。</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2" w:firstLineChars="200"/>
        <w:textAlignment w:val="auto"/>
        <w:rPr>
          <w:rFonts w:hint="default" w:ascii="Nimbus Roman No9 L" w:hAnsi="Nimbus Roman No9 L" w:eastAsia="仿宋_GB2312" w:cs="Nimbus Roman No9 L"/>
          <w:b/>
          <w:color w:val="auto"/>
          <w:sz w:val="32"/>
          <w:szCs w:val="32"/>
          <w:lang w:val="en-US" w:eastAsia="zh-CN"/>
        </w:rPr>
      </w:pPr>
      <w:bookmarkStart w:id="7" w:name="_Toc1819308278_WPSOffice_Level3"/>
      <w:r>
        <w:rPr>
          <w:rFonts w:hint="default" w:ascii="Nimbus Roman No9 L" w:hAnsi="Nimbus Roman No9 L" w:eastAsia="仿宋_GB2312" w:cs="Nimbus Roman No9 L"/>
          <w:b/>
          <w:color w:val="auto"/>
          <w:sz w:val="32"/>
          <w:szCs w:val="32"/>
          <w:lang w:val="en-US" w:eastAsia="zh-CN"/>
        </w:rPr>
        <w:t>2.创业创新活力目标</w:t>
      </w:r>
      <w:bookmarkEnd w:id="7"/>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default" w:ascii="Nimbus Roman No9 L" w:hAnsi="Nimbus Roman No9 L" w:eastAsia="仿宋_GB2312" w:cs="Nimbus Roman No9 L"/>
          <w:color w:val="auto"/>
          <w:sz w:val="32"/>
          <w:szCs w:val="32"/>
        </w:rPr>
      </w:pPr>
      <w:r>
        <w:rPr>
          <w:rFonts w:hint="default" w:ascii="Nimbus Roman No9 L" w:hAnsi="Nimbus Roman No9 L" w:eastAsia="仿宋_GB2312" w:cs="Nimbus Roman No9 L"/>
          <w:color w:val="auto"/>
          <w:sz w:val="32"/>
          <w:szCs w:val="32"/>
        </w:rPr>
        <w:t>力争到2025年，培育国家和市级小型微型企业创业创新示范基地15家，入驻企业达1500家以上；国家和市级中小企业公共服务示范平台15家，服务企业达2500家以上；国家和天津市“专精特新”认定企业400家。争取国家级高新技术企业达到5800家，雏鹰企业达到2100家，瞪羚企业达到210家。</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0"/>
        <w:rPr>
          <w:rFonts w:hint="default" w:ascii="Nimbus Roman No9 L" w:hAnsi="Nimbus Roman No9 L" w:eastAsia="黑体" w:cs="Nimbus Roman No9 L"/>
          <w:b w:val="0"/>
          <w:bCs w:val="0"/>
          <w:color w:val="auto"/>
          <w:sz w:val="32"/>
          <w:szCs w:val="32"/>
        </w:rPr>
      </w:pPr>
      <w:bookmarkStart w:id="8" w:name="bookmark3"/>
      <w:bookmarkStart w:id="9" w:name="_Toc1984966335_WPSOffice_Level1"/>
      <w:r>
        <w:rPr>
          <w:rFonts w:hint="default" w:ascii="Nimbus Roman No9 L" w:hAnsi="Nimbus Roman No9 L" w:eastAsia="黑体" w:cs="Nimbus Roman No9 L"/>
          <w:b w:val="0"/>
          <w:bCs w:val="0"/>
          <w:color w:val="auto"/>
          <w:sz w:val="32"/>
          <w:szCs w:val="32"/>
        </w:rPr>
        <w:t>三、</w:t>
      </w:r>
      <w:bookmarkEnd w:id="8"/>
      <w:r>
        <w:rPr>
          <w:rFonts w:hint="default" w:ascii="Nimbus Roman No9 L" w:hAnsi="Nimbus Roman No9 L" w:eastAsia="黑体" w:cs="Nimbus Roman No9 L"/>
          <w:b w:val="0"/>
          <w:bCs w:val="0"/>
          <w:color w:val="auto"/>
          <w:sz w:val="32"/>
          <w:szCs w:val="32"/>
        </w:rPr>
        <w:t>主要任务</w:t>
      </w:r>
      <w:bookmarkEnd w:id="9"/>
    </w:p>
    <w:p>
      <w:pPr>
        <w:pStyle w:val="22"/>
        <w:keepNext w:val="0"/>
        <w:keepLines w:val="0"/>
        <w:pageBreakBefore w:val="0"/>
        <w:widowControl w:val="0"/>
        <w:kinsoku/>
        <w:wordWrap/>
        <w:overflowPunct/>
        <w:topLinePunct w:val="0"/>
        <w:autoSpaceDE/>
        <w:autoSpaceDN/>
        <w:bidi w:val="0"/>
        <w:adjustRightInd/>
        <w:snapToGrid/>
        <w:spacing w:line="580" w:lineRule="exact"/>
        <w:ind w:firstLine="640"/>
        <w:textAlignment w:val="auto"/>
        <w:rPr>
          <w:rFonts w:hint="default" w:ascii="Nimbus Roman No9 L" w:hAnsi="Nimbus Roman No9 L" w:eastAsia="仿宋_GB2312" w:cs="Nimbus Roman No9 L"/>
          <w:color w:val="auto"/>
          <w:sz w:val="32"/>
          <w:szCs w:val="32"/>
        </w:rPr>
      </w:pPr>
      <w:r>
        <w:rPr>
          <w:rFonts w:hint="default" w:ascii="Nimbus Roman No9 L" w:hAnsi="Nimbus Roman No9 L" w:eastAsia="仿宋_GB2312" w:cs="Nimbus Roman No9 L"/>
          <w:color w:val="auto"/>
          <w:sz w:val="32"/>
          <w:szCs w:val="32"/>
        </w:rPr>
        <w:t>全面融入“1+3+4”和海洋经济为特色的产业体系，围绕高质量发展根本要求，面向中小企业创新转型升级需求，坚持内生发展、融合发展、统筹发展、开放发展，以促进生产型、贸易型、服务型、创新型、数字型等“五型产业”中小企业发展为导向，部署九大重点任务。</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1"/>
        <w:rPr>
          <w:rFonts w:hint="default" w:ascii="Nimbus Roman No9 L" w:hAnsi="Nimbus Roman No9 L" w:eastAsia="楷体_GB2312" w:cs="Nimbus Roman No9 L"/>
          <w:color w:val="auto"/>
          <w:sz w:val="32"/>
          <w:szCs w:val="32"/>
        </w:rPr>
      </w:pPr>
      <w:bookmarkStart w:id="10" w:name="_Toc747150804_WPSOffice_Level2"/>
      <w:r>
        <w:rPr>
          <w:rFonts w:hint="default" w:ascii="Nimbus Roman No9 L" w:hAnsi="Nimbus Roman No9 L" w:eastAsia="楷体_GB2312" w:cs="Nimbus Roman No9 L"/>
          <w:color w:val="auto"/>
          <w:sz w:val="32"/>
          <w:szCs w:val="32"/>
        </w:rPr>
        <w:t>（一）数字化智能化赋能企业发展</w:t>
      </w:r>
      <w:bookmarkEnd w:id="10"/>
    </w:p>
    <w:p>
      <w:pPr>
        <w:pStyle w:val="22"/>
        <w:keepNext w:val="0"/>
        <w:keepLines w:val="0"/>
        <w:pageBreakBefore w:val="0"/>
        <w:widowControl w:val="0"/>
        <w:kinsoku/>
        <w:wordWrap/>
        <w:overflowPunct/>
        <w:topLinePunct w:val="0"/>
        <w:autoSpaceDE/>
        <w:autoSpaceDN/>
        <w:bidi w:val="0"/>
        <w:adjustRightInd/>
        <w:snapToGrid/>
        <w:spacing w:line="580" w:lineRule="exact"/>
        <w:ind w:firstLine="640"/>
        <w:textAlignment w:val="auto"/>
        <w:rPr>
          <w:rFonts w:hint="default" w:ascii="Nimbus Roman No9 L" w:hAnsi="Nimbus Roman No9 L" w:eastAsia="仿宋_GB2312" w:cs="Nimbus Roman No9 L"/>
          <w:color w:val="auto"/>
          <w:sz w:val="32"/>
          <w:szCs w:val="32"/>
        </w:rPr>
      </w:pPr>
      <w:r>
        <w:rPr>
          <w:rFonts w:hint="default" w:ascii="Nimbus Roman No9 L" w:hAnsi="Nimbus Roman No9 L" w:eastAsia="仿宋_GB2312" w:cs="Nimbus Roman No9 L"/>
          <w:color w:val="auto"/>
          <w:sz w:val="32"/>
          <w:szCs w:val="32"/>
        </w:rPr>
        <w:t>坚持有限聚焦、用于探索，鼓励原创性、交叉性、颠覆性创新，深入落实“数字中国”战略，全面推进天津（滨海新区）人工智能创新应用先导区建设。</w:t>
      </w:r>
    </w:p>
    <w:p>
      <w:pPr>
        <w:pStyle w:val="22"/>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2" w:firstLineChars="200"/>
        <w:textAlignment w:val="auto"/>
        <w:rPr>
          <w:rFonts w:hint="default" w:ascii="Nimbus Roman No9 L" w:hAnsi="Nimbus Roman No9 L" w:eastAsia="仿宋_GB2312" w:cs="Nimbus Roman No9 L"/>
          <w:b/>
          <w:color w:val="auto"/>
          <w:sz w:val="32"/>
          <w:szCs w:val="32"/>
        </w:rPr>
      </w:pPr>
      <w:r>
        <w:rPr>
          <w:rFonts w:hint="default" w:ascii="Nimbus Roman No9 L" w:hAnsi="Nimbus Roman No9 L" w:eastAsia="仿宋_GB2312" w:cs="Nimbus Roman No9 L"/>
          <w:b/>
          <w:color w:val="auto"/>
          <w:sz w:val="32"/>
          <w:szCs w:val="32"/>
          <w:lang w:val="en-US" w:eastAsia="zh-CN"/>
        </w:rPr>
        <w:t>1.</w:t>
      </w:r>
      <w:r>
        <w:rPr>
          <w:rFonts w:hint="default" w:ascii="Nimbus Roman No9 L" w:hAnsi="Nimbus Roman No9 L" w:eastAsia="仿宋_GB2312" w:cs="Nimbus Roman No9 L"/>
          <w:b/>
          <w:color w:val="auto"/>
          <w:sz w:val="32"/>
          <w:szCs w:val="32"/>
        </w:rPr>
        <w:t>加速建设新型基础设施</w:t>
      </w:r>
    </w:p>
    <w:p>
      <w:pPr>
        <w:pStyle w:val="22"/>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default" w:ascii="Nimbus Roman No9 L" w:hAnsi="Nimbus Roman No9 L" w:eastAsia="仿宋_GB2312" w:cs="Nimbus Roman No9 L"/>
          <w:color w:val="auto"/>
          <w:sz w:val="32"/>
          <w:szCs w:val="32"/>
        </w:rPr>
      </w:pPr>
      <w:r>
        <w:rPr>
          <w:rFonts w:hint="default" w:ascii="Nimbus Roman No9 L" w:hAnsi="Nimbus Roman No9 L" w:eastAsia="仿宋_GB2312" w:cs="Nimbus Roman No9 L"/>
          <w:color w:val="auto"/>
          <w:sz w:val="32"/>
          <w:szCs w:val="32"/>
        </w:rPr>
        <w:t>加快5G基础设施建设，推进5G基站建设和商用试点布局，扩大开展智能网联汽车道路测试，构建形成优良的5G产业生态。进一步部署工业互联网，引导大企业业务系统云化改造，推动中小企业业务云端迁移。完善数据中心设施建设，推动大型数据中心有序建设使用、小微型数据中心升级改造，大力发展新型智能化计算设施。加强智能感知设施建设，部署多功能一体杆、智能路网、给排水、能源、环保、防灾与安全生产等智能感知设施，推进智慧城市建设。到2025年，率先建成全国一流5G城区。</w:t>
      </w:r>
    </w:p>
    <w:p>
      <w:pPr>
        <w:pStyle w:val="22"/>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2" w:firstLineChars="200"/>
        <w:textAlignment w:val="auto"/>
        <w:rPr>
          <w:rFonts w:hint="default" w:ascii="Nimbus Roman No9 L" w:hAnsi="Nimbus Roman No9 L" w:eastAsia="仿宋_GB2312" w:cs="Nimbus Roman No9 L"/>
          <w:b/>
          <w:color w:val="auto"/>
          <w:sz w:val="32"/>
          <w:szCs w:val="32"/>
          <w:lang w:val="en-US" w:eastAsia="zh-CN"/>
        </w:rPr>
      </w:pPr>
      <w:r>
        <w:rPr>
          <w:rFonts w:hint="default" w:ascii="Nimbus Roman No9 L" w:hAnsi="Nimbus Roman No9 L" w:eastAsia="仿宋_GB2312" w:cs="Nimbus Roman No9 L"/>
          <w:b/>
          <w:color w:val="auto"/>
          <w:sz w:val="32"/>
          <w:szCs w:val="32"/>
          <w:lang w:val="en-US" w:eastAsia="zh-CN"/>
        </w:rPr>
        <w:t>2.助推中小企业上云用云</w:t>
      </w:r>
    </w:p>
    <w:p>
      <w:pPr>
        <w:pStyle w:val="22"/>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default" w:ascii="Nimbus Roman No9 L" w:hAnsi="Nimbus Roman No9 L" w:eastAsia="仿宋_GB2312" w:cs="Nimbus Roman No9 L"/>
          <w:color w:val="auto"/>
          <w:sz w:val="32"/>
          <w:szCs w:val="32"/>
        </w:rPr>
      </w:pPr>
      <w:r>
        <w:rPr>
          <w:rFonts w:hint="default" w:ascii="Nimbus Roman No9 L" w:hAnsi="Nimbus Roman No9 L" w:eastAsia="仿宋_GB2312" w:cs="Nimbus Roman No9 L"/>
          <w:color w:val="auto"/>
          <w:sz w:val="32"/>
          <w:szCs w:val="32"/>
        </w:rPr>
        <w:t>引导数字化服务商面向中小企业推出云制造平台和云服务平台，支持中小企业设备上云和业务系统向云端迁移，帮助中小企业从云上获取资源和应用服务，满足中小企业研发设计、生产制造、经营管理、市场营销等业务系统云化需求。加快“云+智能”融合，帮助中小企业从云上获取更多的生产性服务。鼓励数字化服务商向中小企业和创业团队开放平台接口、数据、计算能力等数字化资源，提升中小企业二次开发能力。</w:t>
      </w:r>
    </w:p>
    <w:p>
      <w:pPr>
        <w:pStyle w:val="22"/>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2" w:firstLineChars="200"/>
        <w:textAlignment w:val="auto"/>
        <w:rPr>
          <w:rFonts w:hint="default" w:ascii="Nimbus Roman No9 L" w:hAnsi="Nimbus Roman No9 L" w:eastAsia="仿宋_GB2312" w:cs="Nimbus Roman No9 L"/>
          <w:b/>
          <w:color w:val="auto"/>
          <w:sz w:val="32"/>
          <w:szCs w:val="32"/>
          <w:lang w:val="en-US" w:eastAsia="zh-CN"/>
        </w:rPr>
      </w:pPr>
      <w:r>
        <w:rPr>
          <w:rFonts w:hint="default" w:ascii="Nimbus Roman No9 L" w:hAnsi="Nimbus Roman No9 L" w:eastAsia="仿宋_GB2312" w:cs="Nimbus Roman No9 L"/>
          <w:b/>
          <w:color w:val="auto"/>
          <w:sz w:val="32"/>
          <w:szCs w:val="32"/>
          <w:lang w:val="en-US" w:eastAsia="zh-CN"/>
        </w:rPr>
        <w:t>3.夯实数字化平台功能</w:t>
      </w:r>
    </w:p>
    <w:p>
      <w:pPr>
        <w:pStyle w:val="22"/>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default" w:ascii="Nimbus Roman No9 L" w:hAnsi="Nimbus Roman No9 L" w:eastAsia="仿宋_GB2312" w:cs="Nimbus Roman No9 L"/>
          <w:color w:val="auto"/>
          <w:sz w:val="32"/>
          <w:szCs w:val="32"/>
        </w:rPr>
      </w:pPr>
      <w:r>
        <w:rPr>
          <w:rFonts w:hint="default" w:ascii="Nimbus Roman No9 L" w:hAnsi="Nimbus Roman No9 L" w:eastAsia="仿宋_GB2312" w:cs="Nimbus Roman No9 L"/>
          <w:color w:val="auto"/>
          <w:sz w:val="32"/>
          <w:szCs w:val="32"/>
        </w:rPr>
        <w:t>搭建技术水平高、集成能力强、行业应用广的数字化平台，应用物联网、大数据、边缘计算、5G、人工智能、增强现实/虚拟现实等新兴技术，集成工程设计、电子设计、建模、仿真、产品生命周期管理、制造运营管理、自动化控制等通用操作系统、软件和工具包，灵活部署通用性强、安全可靠、易二次开发的工业APP，促进中小企业生产要素数字化、生产过程柔性化及系统服务集成化。打造工业APP测试评估平台和可信区块链创新协同平台，为中小服务商和中小企业提供测试认证服务。</w:t>
      </w:r>
    </w:p>
    <w:p>
      <w:pPr>
        <w:pStyle w:val="22"/>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2" w:firstLineChars="200"/>
        <w:textAlignment w:val="auto"/>
        <w:rPr>
          <w:rFonts w:hint="default" w:ascii="Nimbus Roman No9 L" w:hAnsi="Nimbus Roman No9 L" w:eastAsia="仿宋_GB2312" w:cs="Nimbus Roman No9 L"/>
          <w:b/>
          <w:color w:val="auto"/>
          <w:sz w:val="32"/>
          <w:szCs w:val="32"/>
          <w:lang w:val="en-US" w:eastAsia="zh-CN"/>
        </w:rPr>
      </w:pPr>
      <w:r>
        <w:rPr>
          <w:rFonts w:hint="default" w:ascii="Nimbus Roman No9 L" w:hAnsi="Nimbus Roman No9 L" w:eastAsia="仿宋_GB2312" w:cs="Nimbus Roman No9 L"/>
          <w:b/>
          <w:color w:val="auto"/>
          <w:sz w:val="32"/>
          <w:szCs w:val="32"/>
          <w:lang w:val="en-US" w:eastAsia="zh-CN"/>
        </w:rPr>
        <w:t>4.加强数据资源共享和开发利用</w:t>
      </w:r>
    </w:p>
    <w:p>
      <w:pPr>
        <w:pStyle w:val="22"/>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default" w:ascii="Nimbus Roman No9 L" w:hAnsi="Nimbus Roman No9 L" w:eastAsia="仿宋_GB2312" w:cs="Nimbus Roman No9 L"/>
          <w:color w:val="auto"/>
          <w:sz w:val="32"/>
          <w:szCs w:val="32"/>
        </w:rPr>
      </w:pPr>
      <w:r>
        <w:rPr>
          <w:rFonts w:hint="default" w:ascii="Nimbus Roman No9 L" w:hAnsi="Nimbus Roman No9 L" w:eastAsia="仿宋_GB2312" w:cs="Nimbus Roman No9 L"/>
          <w:color w:val="auto"/>
          <w:sz w:val="32"/>
          <w:szCs w:val="32"/>
        </w:rPr>
        <w:t>支持基于产业集群和供应链上下游企业打通不同系统间的数据联通渠道，实现数据信息畅通、制造资源共享和生产过程协同。支持发展新型数据产品和服务，鼓励探索专业化的数据采集、数据清洗、数据交换、数据标注等新商业模式，发展弹性分布式计算、数据存储等基础数据处理云服务和在线机器学习、自然语言处理、图像理解、语音识别、知识图谱、数据可视化、数字孪生等数据分析服务，帮助中小企业提升数据开发和应用水平。</w:t>
      </w:r>
    </w:p>
    <w:p>
      <w:pPr>
        <w:pStyle w:val="22"/>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2" w:firstLineChars="200"/>
        <w:textAlignment w:val="auto"/>
        <w:rPr>
          <w:rFonts w:hint="default" w:ascii="Nimbus Roman No9 L" w:hAnsi="Nimbus Roman No9 L" w:eastAsia="仿宋_GB2312" w:cs="Nimbus Roman No9 L"/>
          <w:b/>
          <w:color w:val="auto"/>
          <w:sz w:val="32"/>
          <w:szCs w:val="32"/>
          <w:lang w:val="en-US" w:eastAsia="zh-CN"/>
        </w:rPr>
      </w:pPr>
      <w:r>
        <w:rPr>
          <w:rFonts w:hint="default" w:ascii="Nimbus Roman No9 L" w:hAnsi="Nimbus Roman No9 L" w:eastAsia="仿宋_GB2312" w:cs="Nimbus Roman No9 L"/>
          <w:b/>
          <w:color w:val="auto"/>
          <w:sz w:val="32"/>
          <w:szCs w:val="32"/>
          <w:lang w:val="en-US" w:eastAsia="zh-CN"/>
        </w:rPr>
        <w:t>5.精准赋能中小企业创新</w:t>
      </w:r>
    </w:p>
    <w:p>
      <w:pPr>
        <w:pStyle w:val="22"/>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default" w:ascii="Nimbus Roman No9 L" w:hAnsi="Nimbus Roman No9 L" w:eastAsia="仿宋_GB2312" w:cs="Nimbus Roman No9 L"/>
          <w:color w:val="auto"/>
          <w:sz w:val="32"/>
          <w:szCs w:val="32"/>
        </w:rPr>
      </w:pPr>
      <w:r>
        <w:rPr>
          <w:rFonts w:hint="default" w:ascii="Nimbus Roman No9 L" w:hAnsi="Nimbus Roman No9 L" w:eastAsia="仿宋_GB2312" w:cs="Nimbus Roman No9 L"/>
          <w:color w:val="auto"/>
          <w:sz w:val="32"/>
          <w:szCs w:val="32"/>
        </w:rPr>
        <w:t>持续深入开展人工智能精准赋能中小企业活动，加快模块化、低成本、易维护的人工智能技术产品与系统解决方案在中小企业普及推广、深度应用。梳理重点行业领域中小企业的人工智能应用需求清单，编制相关供给目录、需求目录和优秀对接案例集。开展线上线下宣传培训，组织应用标杆案例展览，形成中小企业利用人工智能技术进行改造升级的良好社会氛围。</w:t>
      </w:r>
    </w:p>
    <w:p>
      <w:pPr>
        <w:pStyle w:val="22"/>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0" w:firstLineChars="0"/>
        <w:jc w:val="center"/>
        <w:textAlignment w:val="auto"/>
        <w:rPr>
          <w:rFonts w:hint="default" w:ascii="Nimbus Roman No9 L" w:hAnsi="Nimbus Roman No9 L" w:eastAsia="仿宋_GB2312" w:cs="Nimbus Roman No9 L"/>
          <w:b w:val="0"/>
          <w:bCs/>
          <w:color w:val="auto"/>
          <w:sz w:val="32"/>
          <w:szCs w:val="32"/>
        </w:rPr>
      </w:pPr>
      <w:r>
        <w:rPr>
          <w:rFonts w:hint="default" w:ascii="Nimbus Roman No9 L" w:hAnsi="Nimbus Roman No9 L" w:eastAsia="仿宋_GB2312" w:cs="Nimbus Roman No9 L"/>
          <w:b w:val="0"/>
          <w:bCs/>
          <w:color w:val="auto"/>
          <w:sz w:val="32"/>
          <w:szCs w:val="32"/>
        </w:rPr>
        <w:t>专栏1：人工智能行业赋能促进工程</w:t>
      </w:r>
    </w:p>
    <w:tbl>
      <w:tblPr>
        <w:tblStyle w:val="13"/>
        <w:tblpPr w:leftFromText="180" w:rightFromText="180" w:vertAnchor="text" w:horzAnchor="page" w:tblpX="1984" w:tblpY="131"/>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Borders>
              <w:top w:val="single" w:color="auto" w:sz="4" w:space="0"/>
              <w:left w:val="single" w:color="auto" w:sz="4" w:space="0"/>
              <w:bottom w:val="single" w:color="auto" w:sz="4" w:space="0"/>
              <w:right w:val="single" w:color="auto" w:sz="4" w:space="0"/>
              <w:tl2br w:val="nil"/>
              <w:tr2bl w:val="nil"/>
            </w:tcBorders>
            <w:noWrap w:val="0"/>
            <w:vAlign w:val="top"/>
          </w:tcPr>
          <w:p>
            <w:pPr>
              <w:pStyle w:val="22"/>
              <w:keepNext w:val="0"/>
              <w:keepLines w:val="0"/>
              <w:pageBreakBefore w:val="0"/>
              <w:widowControl w:val="0"/>
              <w:kinsoku/>
              <w:wordWrap/>
              <w:overflowPunct/>
              <w:topLinePunct w:val="0"/>
              <w:autoSpaceDE/>
              <w:autoSpaceDN/>
              <w:bidi w:val="0"/>
              <w:adjustRightInd/>
              <w:snapToGrid/>
              <w:spacing w:line="580" w:lineRule="exact"/>
              <w:ind w:left="0" w:leftChars="0" w:firstLine="481" w:firstLineChars="200"/>
              <w:textAlignment w:val="auto"/>
              <w:rPr>
                <w:rFonts w:hint="default" w:ascii="Nimbus Roman No9 L" w:hAnsi="Nimbus Roman No9 L" w:eastAsia="仿宋_GB2312" w:cs="Nimbus Roman No9 L"/>
                <w:color w:val="auto"/>
                <w:kern w:val="0"/>
                <w:sz w:val="28"/>
                <w:szCs w:val="24"/>
              </w:rPr>
            </w:pPr>
            <w:r>
              <w:rPr>
                <w:rFonts w:hint="default" w:ascii="Nimbus Roman No9 L" w:hAnsi="Nimbus Roman No9 L" w:eastAsia="仿宋_GB2312" w:cs="Nimbus Roman No9 L"/>
                <w:b/>
                <w:color w:val="auto"/>
                <w:kern w:val="0"/>
                <w:sz w:val="24"/>
                <w:szCs w:val="24"/>
              </w:rPr>
              <w:t>打造人工智能开放平台。</w:t>
            </w:r>
            <w:r>
              <w:rPr>
                <w:rFonts w:hint="default" w:ascii="Nimbus Roman No9 L" w:hAnsi="Nimbus Roman No9 L" w:eastAsia="仿宋_GB2312" w:cs="Nimbus Roman No9 L"/>
                <w:color w:val="auto"/>
                <w:kern w:val="0"/>
                <w:sz w:val="24"/>
                <w:szCs w:val="24"/>
              </w:rPr>
              <w:t>支持龙头骨干企业聚焦数字化基础好、带动效应强的重点行业，打造一批通用化和行业性人工智能开放平台，开放智能技术能力，提供智能云服务，加速人工智能工程化落地应用。</w:t>
            </w:r>
            <w:r>
              <w:rPr>
                <w:rFonts w:hint="default" w:ascii="Nimbus Roman No9 L" w:hAnsi="Nimbus Roman No9 L" w:eastAsia="仿宋_GB2312" w:cs="Nimbus Roman No9 L"/>
                <w:b/>
                <w:color w:val="auto"/>
                <w:kern w:val="0"/>
                <w:sz w:val="24"/>
                <w:szCs w:val="24"/>
              </w:rPr>
              <w:t>建设人工智能融合赋能中心。</w:t>
            </w:r>
            <w:r>
              <w:rPr>
                <w:rFonts w:hint="default" w:ascii="Nimbus Roman No9 L" w:hAnsi="Nimbus Roman No9 L" w:eastAsia="仿宋_GB2312" w:cs="Nimbus Roman No9 L"/>
                <w:color w:val="auto"/>
                <w:kern w:val="0"/>
                <w:sz w:val="24"/>
                <w:szCs w:val="24"/>
              </w:rPr>
              <w:t>鼓励重点地区结合产业基础和特色优势，依托龙头企业、科研机构等建设一批人工智能融合赋能中心，加快应用场景释放、算法推理训练场景创新，加速地方典型应用落地推广。</w:t>
            </w:r>
            <w:r>
              <w:rPr>
                <w:rFonts w:hint="default" w:ascii="Nimbus Roman No9 L" w:hAnsi="Nimbus Roman No9 L" w:eastAsia="仿宋_GB2312" w:cs="Nimbus Roman No9 L"/>
                <w:b/>
                <w:color w:val="auto"/>
                <w:kern w:val="0"/>
                <w:sz w:val="24"/>
                <w:szCs w:val="24"/>
              </w:rPr>
              <w:t>培育应用解决方案供应商。</w:t>
            </w:r>
            <w:r>
              <w:rPr>
                <w:rFonts w:hint="default" w:ascii="Nimbus Roman No9 L" w:hAnsi="Nimbus Roman No9 L" w:eastAsia="仿宋_GB2312" w:cs="Nimbus Roman No9 L"/>
                <w:color w:val="auto"/>
                <w:kern w:val="0"/>
                <w:sz w:val="24"/>
                <w:szCs w:val="24"/>
              </w:rPr>
              <w:t>培育一批具有加强示范、带动和引领作用的通用供应商，以及一批具备细分场景技术优势和行业知识经验的专业供应商，提供专业人工智能系统集成服务。</w:t>
            </w:r>
            <w:r>
              <w:rPr>
                <w:rFonts w:hint="default" w:ascii="Nimbus Roman No9 L" w:hAnsi="Nimbus Roman No9 L" w:eastAsia="仿宋_GB2312" w:cs="Nimbus Roman No9 L"/>
                <w:b/>
                <w:color w:val="auto"/>
                <w:kern w:val="0"/>
                <w:sz w:val="24"/>
                <w:szCs w:val="24"/>
              </w:rPr>
              <w:t>制定人工智能行业融合路线图。</w:t>
            </w:r>
            <w:r>
              <w:rPr>
                <w:rFonts w:hint="default" w:ascii="Nimbus Roman No9 L" w:hAnsi="Nimbus Roman No9 L" w:eastAsia="仿宋_GB2312" w:cs="Nimbus Roman No9 L"/>
                <w:color w:val="auto"/>
                <w:kern w:val="0"/>
                <w:sz w:val="24"/>
                <w:szCs w:val="24"/>
              </w:rPr>
              <w:t>鼓励行业组织、龙头企业和解决方案提供商，针对重点细分行业需求和痛点，分行业分地区制定行业智能化路线图和参考手册，加速人工智能技术产品与解决方案应用推广。</w:t>
            </w:r>
            <w:r>
              <w:rPr>
                <w:rFonts w:hint="default" w:ascii="Nimbus Roman No9 L" w:hAnsi="Nimbus Roman No9 L" w:eastAsia="仿宋_GB2312" w:cs="Nimbus Roman No9 L"/>
                <w:b/>
                <w:color w:val="auto"/>
                <w:kern w:val="0"/>
                <w:sz w:val="24"/>
                <w:szCs w:val="24"/>
              </w:rPr>
              <w:t>打造行业标杆应用示范。</w:t>
            </w:r>
            <w:r>
              <w:rPr>
                <w:rFonts w:hint="default" w:ascii="Nimbus Roman No9 L" w:hAnsi="Nimbus Roman No9 L" w:eastAsia="仿宋_GB2312" w:cs="Nimbus Roman No9 L"/>
                <w:color w:val="auto"/>
                <w:kern w:val="0"/>
                <w:sz w:val="24"/>
                <w:szCs w:val="24"/>
              </w:rPr>
              <w:t>建设典型行业应用场景库，发布应用场景需求清单，充分调动龙头企业积极性，面向制造、交通、物流、医疗、农业、城市管理等重点行业领域，打造遴选一批人工智能深度应用标杆案例。支持打造和认定一批体系化应用人工智能技术的智能制造单元、智能生产线、智能车间、智能工厂，加大成熟经验或模式的梳理总结与复制推广力度。</w:t>
            </w:r>
          </w:p>
        </w:tc>
      </w:tr>
    </w:tbl>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1"/>
        <w:rPr>
          <w:rFonts w:hint="default" w:ascii="Nimbus Roman No9 L" w:hAnsi="Nimbus Roman No9 L" w:eastAsia="楷体_GB2312" w:cs="Nimbus Roman No9 L"/>
          <w:color w:val="auto"/>
          <w:sz w:val="32"/>
          <w:szCs w:val="32"/>
        </w:rPr>
      </w:pPr>
      <w:bookmarkStart w:id="11" w:name="_Toc187000425_WPSOffice_Level2"/>
      <w:r>
        <w:rPr>
          <w:rFonts w:hint="default" w:ascii="Nimbus Roman No9 L" w:hAnsi="Nimbus Roman No9 L" w:eastAsia="楷体_GB2312" w:cs="Nimbus Roman No9 L"/>
          <w:color w:val="auto"/>
          <w:sz w:val="32"/>
          <w:szCs w:val="32"/>
        </w:rPr>
        <w:t>（二）引导中小企业提质增效</w:t>
      </w:r>
      <w:bookmarkEnd w:id="11"/>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Nimbus Roman No9 L" w:hAnsi="Nimbus Roman No9 L" w:eastAsia="仿宋_GB2312" w:cs="Nimbus Roman No9 L"/>
          <w:color w:val="auto"/>
          <w:sz w:val="32"/>
          <w:szCs w:val="32"/>
        </w:rPr>
      </w:pPr>
      <w:r>
        <w:rPr>
          <w:rFonts w:hint="default" w:ascii="Nimbus Roman No9 L" w:hAnsi="Nimbus Roman No9 L" w:eastAsia="仿宋_GB2312" w:cs="Nimbus Roman No9 L"/>
          <w:color w:val="auto"/>
          <w:sz w:val="32"/>
          <w:szCs w:val="32"/>
        </w:rPr>
        <w:t>围绕“3060”碳达峰、碳中和总体目标，加速中小企业转型升级，推动先进制造业和现代服务业融合创新，提升资源能源利用水平，构建高效清洁绿色体系，培育一批跨界融合新业态，增强制造型中小企业竞争新优势。</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2" w:firstLineChars="200"/>
        <w:textAlignment w:val="auto"/>
        <w:rPr>
          <w:rFonts w:hint="default" w:ascii="Nimbus Roman No9 L" w:hAnsi="Nimbus Roman No9 L" w:eastAsia="仿宋_GB2312" w:cs="Nimbus Roman No9 L"/>
          <w:b/>
          <w:color w:val="auto"/>
          <w:sz w:val="32"/>
          <w:szCs w:val="32"/>
        </w:rPr>
      </w:pPr>
      <w:r>
        <w:rPr>
          <w:rFonts w:hint="default" w:ascii="Nimbus Roman No9 L" w:hAnsi="Nimbus Roman No9 L" w:eastAsia="仿宋_GB2312" w:cs="Nimbus Roman No9 L"/>
          <w:b/>
          <w:color w:val="auto"/>
          <w:sz w:val="32"/>
          <w:szCs w:val="32"/>
          <w:lang w:val="en-US" w:eastAsia="zh-CN"/>
        </w:rPr>
        <w:t>1.</w:t>
      </w:r>
      <w:r>
        <w:rPr>
          <w:rFonts w:hint="default" w:ascii="Nimbus Roman No9 L" w:hAnsi="Nimbus Roman No9 L" w:eastAsia="仿宋_GB2312" w:cs="Nimbus Roman No9 L"/>
          <w:b/>
          <w:color w:val="auto"/>
          <w:sz w:val="32"/>
          <w:szCs w:val="32"/>
        </w:rPr>
        <w:t>打造两业融合发展核心区</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default" w:ascii="Nimbus Roman No9 L" w:hAnsi="Nimbus Roman No9 L" w:eastAsia="仿宋_GB2312" w:cs="Nimbus Roman No9 L"/>
          <w:color w:val="auto"/>
          <w:sz w:val="32"/>
          <w:szCs w:val="32"/>
        </w:rPr>
      </w:pPr>
      <w:r>
        <w:rPr>
          <w:rFonts w:hint="default" w:ascii="Nimbus Roman No9 L" w:hAnsi="Nimbus Roman No9 L" w:eastAsia="仿宋_GB2312" w:cs="Nimbus Roman No9 L"/>
          <w:color w:val="auto"/>
          <w:sz w:val="32"/>
          <w:szCs w:val="32"/>
        </w:rPr>
        <w:t>推动两业融合发展，培育融合发展新业态新模式，打造两业融合发展核心区，增强制造业核心竞争力。鼓励服务企业向制造环节延伸，发展工业设计服务、定制化服务、供应链管理、检验检测认证服务、制造业服务外包等新模式。鼓励制造企业向增值服务环节延伸，引导研发与制造业企业嵌入式合作，围绕产品开展需求分析、创新试验服务。加快发展共享制造，推进共享制造平台建设，建设共享工厂，培育发展众包、众创、云共享等模式。</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2" w:firstLineChars="200"/>
        <w:textAlignment w:val="auto"/>
        <w:rPr>
          <w:rFonts w:hint="default" w:ascii="Nimbus Roman No9 L" w:hAnsi="Nimbus Roman No9 L" w:eastAsia="仿宋_GB2312" w:cs="Nimbus Roman No9 L"/>
          <w:b/>
          <w:color w:val="auto"/>
          <w:sz w:val="32"/>
          <w:szCs w:val="32"/>
          <w:lang w:val="en-US" w:eastAsia="zh-CN"/>
        </w:rPr>
      </w:pPr>
      <w:r>
        <w:rPr>
          <w:rFonts w:hint="default" w:ascii="Nimbus Roman No9 L" w:hAnsi="Nimbus Roman No9 L" w:eastAsia="仿宋_GB2312" w:cs="Nimbus Roman No9 L"/>
          <w:b/>
          <w:color w:val="auto"/>
          <w:sz w:val="32"/>
          <w:szCs w:val="32"/>
          <w:lang w:val="en-US" w:eastAsia="zh-CN"/>
        </w:rPr>
        <w:t>2.完善科技创新体系</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default" w:ascii="Nimbus Roman No9 L" w:hAnsi="Nimbus Roman No9 L" w:eastAsia="仿宋_GB2312" w:cs="Nimbus Roman No9 L"/>
          <w:color w:val="auto"/>
          <w:sz w:val="32"/>
          <w:szCs w:val="32"/>
        </w:rPr>
      </w:pPr>
      <w:r>
        <w:rPr>
          <w:rFonts w:hint="default" w:ascii="Nimbus Roman No9 L" w:hAnsi="Nimbus Roman No9 L" w:eastAsia="仿宋_GB2312" w:cs="Nimbus Roman No9 L"/>
          <w:color w:val="auto"/>
          <w:sz w:val="32"/>
          <w:szCs w:val="32"/>
        </w:rPr>
        <w:t>提高重大创新平台载体创新能力，加快国内和国际高端创新要素的集聚。布局国家科技战略力量，完成国家合成生物技术创新中心等一批创新平台建设，取得一系列重大核心技术突破。围绕重点领域，加强国家高新技术企业培育，构建遴选、入库、培育、认定“四个一批”工作机制，引导人才、服务、政策、资本向高新技术企业聚集，持续壮大科技型中小企业底盘。完善科技成果转化政策体系，建立技术创新的市场导向机制，破除科技与经济深度融合的体制机制障碍，推进重点产业领域的科技成果转移转化，形成科技、产业融通发展新局面。推动大学科研优势转化为中小企业发展新动能，充分发挥大学科技园成果转化、创业孵化、集聚资源、培育人才和协同创新等核心功能。</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2" w:firstLineChars="200"/>
        <w:textAlignment w:val="auto"/>
        <w:rPr>
          <w:rFonts w:hint="default" w:ascii="Nimbus Roman No9 L" w:hAnsi="Nimbus Roman No9 L" w:eastAsia="仿宋_GB2312" w:cs="Nimbus Roman No9 L"/>
          <w:b/>
          <w:color w:val="auto"/>
          <w:sz w:val="32"/>
          <w:szCs w:val="32"/>
          <w:lang w:val="en-US" w:eastAsia="zh-CN"/>
        </w:rPr>
      </w:pPr>
      <w:r>
        <w:rPr>
          <w:rFonts w:hint="default" w:ascii="Nimbus Roman No9 L" w:hAnsi="Nimbus Roman No9 L" w:eastAsia="仿宋_GB2312" w:cs="Nimbus Roman No9 L"/>
          <w:b/>
          <w:color w:val="auto"/>
          <w:sz w:val="32"/>
          <w:szCs w:val="32"/>
          <w:lang w:val="en-US" w:eastAsia="zh-CN"/>
        </w:rPr>
        <w:t>3.高质量构建绿色制造体系</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default" w:ascii="Nimbus Roman No9 L" w:hAnsi="Nimbus Roman No9 L" w:eastAsia="仿宋_GB2312" w:cs="Nimbus Roman No9 L"/>
          <w:color w:val="auto"/>
          <w:sz w:val="32"/>
          <w:szCs w:val="32"/>
        </w:rPr>
      </w:pPr>
      <w:r>
        <w:rPr>
          <w:rFonts w:hint="default" w:ascii="Nimbus Roman No9 L" w:hAnsi="Nimbus Roman No9 L" w:eastAsia="仿宋_GB2312" w:cs="Nimbus Roman No9 L"/>
          <w:color w:val="auto"/>
          <w:sz w:val="32"/>
          <w:szCs w:val="32"/>
        </w:rPr>
        <w:t>围绕资源能源利用效率水平提升，高质量构建绿色制造体系，增强制造业竞争新优势，助力实现碳达峰、碳中和。高质量推进绿色制造示范单位“五个一批”建设，开发一批绿色产品，建设一批绿色工厂，打造一批绿色供应链，培育一批绿色数据中心。强化绿色监管和服务，建立实施“有进有出”的绿色制造示范单位动态管理机制，提高中小企业绿色技术服务水平。</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2" w:firstLineChars="200"/>
        <w:textAlignment w:val="auto"/>
        <w:rPr>
          <w:rFonts w:hint="default" w:ascii="Nimbus Roman No9 L" w:hAnsi="Nimbus Roman No9 L" w:eastAsia="仿宋_GB2312" w:cs="Nimbus Roman No9 L"/>
          <w:b/>
          <w:color w:val="auto"/>
          <w:sz w:val="32"/>
          <w:szCs w:val="32"/>
          <w:lang w:val="en-US" w:eastAsia="zh-CN"/>
        </w:rPr>
      </w:pPr>
      <w:r>
        <w:rPr>
          <w:rFonts w:hint="default" w:ascii="Nimbus Roman No9 L" w:hAnsi="Nimbus Roman No9 L" w:eastAsia="仿宋_GB2312" w:cs="Nimbus Roman No9 L"/>
          <w:b/>
          <w:color w:val="auto"/>
          <w:sz w:val="32"/>
          <w:szCs w:val="32"/>
          <w:lang w:val="en-US" w:eastAsia="zh-CN"/>
        </w:rPr>
        <w:t>4.提升资源综合利用率</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default" w:ascii="Nimbus Roman No9 L" w:hAnsi="Nimbus Roman No9 L" w:eastAsia="仿宋_GB2312" w:cs="Nimbus Roman No9 L"/>
          <w:color w:val="auto"/>
          <w:sz w:val="32"/>
          <w:szCs w:val="32"/>
        </w:rPr>
      </w:pPr>
      <w:r>
        <w:rPr>
          <w:rFonts w:hint="default" w:ascii="Nimbus Roman No9 L" w:hAnsi="Nimbus Roman No9 L" w:eastAsia="仿宋_GB2312" w:cs="Nimbus Roman No9 L"/>
          <w:color w:val="auto"/>
          <w:sz w:val="32"/>
          <w:szCs w:val="32"/>
        </w:rPr>
        <w:t>以制造业绿色改造升级为重点，加强资源综合利用，减少能耗物耗水平。稳步提升工业能效，依法依规淘汰落后产能，推广应用国家工业节能技术装备及“能效之星”产品，发展能耗低、污染少的先进制造业和战略性新兴产业。加快提高工业水效，加快推广先进成熟的节水工艺、技术和装备，以石油化工、传统装备制造等行业为重点，积极开展示范创建。深入推进工业资源综合利用，建立多网融合一般固体废物回收利用体系。以电力、石油化工等行业为重点，推进余热余压及废弃综合利用。</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1"/>
        <w:rPr>
          <w:rFonts w:hint="default" w:ascii="Nimbus Roman No9 L" w:hAnsi="Nimbus Roman No9 L" w:eastAsia="楷体_GB2312" w:cs="Nimbus Roman No9 L"/>
          <w:color w:val="auto"/>
          <w:sz w:val="32"/>
          <w:szCs w:val="32"/>
        </w:rPr>
      </w:pPr>
      <w:bookmarkStart w:id="12" w:name="_Toc737612549_WPSOffice_Level2"/>
      <w:r>
        <w:rPr>
          <w:rFonts w:hint="default" w:ascii="Nimbus Roman No9 L" w:hAnsi="Nimbus Roman No9 L" w:eastAsia="楷体_GB2312" w:cs="Nimbus Roman No9 L"/>
          <w:color w:val="auto"/>
          <w:sz w:val="32"/>
          <w:szCs w:val="32"/>
        </w:rPr>
        <w:t>（三）构建企业梯次培育格局</w:t>
      </w:r>
      <w:bookmarkEnd w:id="12"/>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Nimbus Roman No9 L" w:hAnsi="Nimbus Roman No9 L" w:eastAsia="仿宋_GB2312" w:cs="Nimbus Roman No9 L"/>
          <w:color w:val="auto"/>
          <w:sz w:val="32"/>
          <w:szCs w:val="32"/>
        </w:rPr>
      </w:pPr>
      <w:r>
        <w:rPr>
          <w:rFonts w:hint="default" w:ascii="Nimbus Roman No9 L" w:hAnsi="Nimbus Roman No9 L" w:eastAsia="仿宋_GB2312" w:cs="Nimbus Roman No9 L"/>
          <w:color w:val="auto"/>
          <w:sz w:val="32"/>
          <w:szCs w:val="32"/>
        </w:rPr>
        <w:t>坚持“引育并重、分类培养、精准支持”，以推动中小企业高质量发展为核心，培育和集聚一批单项冠军、专精特新、瞪羚企业和独角兽企业，增强中小企业发展活力，打造层次多样、共生发展的企业群落。</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2" w:firstLineChars="200"/>
        <w:textAlignment w:val="auto"/>
        <w:rPr>
          <w:rFonts w:hint="default" w:ascii="Nimbus Roman No9 L" w:hAnsi="Nimbus Roman No9 L" w:eastAsia="仿宋_GB2312" w:cs="Nimbus Roman No9 L"/>
          <w:b/>
          <w:color w:val="auto"/>
          <w:sz w:val="32"/>
          <w:szCs w:val="32"/>
          <w:lang w:eastAsia="zh-CN"/>
        </w:rPr>
      </w:pPr>
      <w:r>
        <w:rPr>
          <w:rFonts w:hint="default" w:ascii="Nimbus Roman No9 L" w:hAnsi="Nimbus Roman No9 L" w:eastAsia="仿宋_GB2312" w:cs="Nimbus Roman No9 L"/>
          <w:b/>
          <w:color w:val="auto"/>
          <w:sz w:val="32"/>
          <w:szCs w:val="32"/>
          <w:lang w:val="en-US" w:eastAsia="zh-CN"/>
        </w:rPr>
        <w:t>1.</w:t>
      </w:r>
      <w:r>
        <w:rPr>
          <w:rFonts w:hint="default" w:ascii="Nimbus Roman No9 L" w:hAnsi="Nimbus Roman No9 L" w:eastAsia="仿宋_GB2312" w:cs="Nimbus Roman No9 L"/>
          <w:b/>
          <w:color w:val="auto"/>
          <w:sz w:val="32"/>
          <w:szCs w:val="32"/>
        </w:rPr>
        <w:t>重点发展“专精特新”</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default" w:ascii="Nimbus Roman No9 L" w:hAnsi="Nimbus Roman No9 L" w:eastAsia="仿宋_GB2312" w:cs="Nimbus Roman No9 L"/>
          <w:b w:val="0"/>
          <w:bCs/>
          <w:color w:val="auto"/>
          <w:sz w:val="32"/>
          <w:szCs w:val="32"/>
        </w:rPr>
      </w:pPr>
      <w:r>
        <w:rPr>
          <w:rFonts w:hint="default" w:ascii="Nimbus Roman No9 L" w:hAnsi="Nimbus Roman No9 L" w:eastAsia="仿宋_GB2312" w:cs="Nimbus Roman No9 L"/>
          <w:b w:val="0"/>
          <w:bCs/>
          <w:color w:val="auto"/>
          <w:sz w:val="32"/>
          <w:szCs w:val="32"/>
        </w:rPr>
        <w:t>围绕提升产业基础能力、产业链现代化水平，坚持培优企业与做强产业相结合，坚持创新驱动、市场带动、上下联动、持续推动，以优化环境和精准服务为保障，分层培育“专精特新”中小企业群体，分类促进企业做专、做精、做大、做强。建设“专精特新”种子企业培育库，引导主营业务突出、成长性好、发展潜力大的中小企业入库。在市级培育认定的“专精特新”中小企业及产品的基础上，继续加大专精特新“小巨人”企业培育力度，促进其技术创新能力、市场竞争力和品牌影响力得到明显提升，在产业链供应链上的地位作用得到明显提升。将入选工信部专精特新</w:t>
      </w:r>
      <w:r>
        <w:rPr>
          <w:rFonts w:hint="default" w:ascii="Nimbus Roman No9 L" w:hAnsi="Nimbus Roman No9 L" w:eastAsia="仿宋_GB2312" w:cs="Nimbus Roman No9 L"/>
          <w:b w:val="0"/>
          <w:bCs/>
          <w:color w:val="auto"/>
          <w:sz w:val="32"/>
          <w:szCs w:val="32"/>
          <w:lang w:eastAsia="zh-CN"/>
        </w:rPr>
        <w:t>“</w:t>
      </w:r>
      <w:r>
        <w:rPr>
          <w:rFonts w:hint="default" w:ascii="Nimbus Roman No9 L" w:hAnsi="Nimbus Roman No9 L" w:eastAsia="仿宋_GB2312" w:cs="Nimbus Roman No9 L"/>
          <w:b w:val="0"/>
          <w:bCs/>
          <w:color w:val="auto"/>
          <w:sz w:val="32"/>
          <w:szCs w:val="32"/>
        </w:rPr>
        <w:t>小巨人</w:t>
      </w:r>
      <w:r>
        <w:rPr>
          <w:rFonts w:hint="default" w:ascii="Nimbus Roman No9 L" w:hAnsi="Nimbus Roman No9 L" w:eastAsia="仿宋_GB2312" w:cs="Nimbus Roman No9 L"/>
          <w:b w:val="0"/>
          <w:bCs/>
          <w:color w:val="auto"/>
          <w:sz w:val="32"/>
          <w:szCs w:val="32"/>
          <w:lang w:eastAsia="zh-CN"/>
        </w:rPr>
        <w:t>”</w:t>
      </w:r>
      <w:r>
        <w:rPr>
          <w:rFonts w:hint="default" w:ascii="Nimbus Roman No9 L" w:hAnsi="Nimbus Roman No9 L" w:eastAsia="仿宋_GB2312" w:cs="Nimbus Roman No9 L"/>
          <w:b w:val="0"/>
          <w:bCs/>
          <w:color w:val="auto"/>
          <w:sz w:val="32"/>
          <w:szCs w:val="32"/>
        </w:rPr>
        <w:t>企业列为财政项目优先支持对象，推动企业专业化、精细化、特色化、新颖化发展。</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2" w:firstLineChars="200"/>
        <w:textAlignment w:val="auto"/>
        <w:rPr>
          <w:rFonts w:hint="default" w:ascii="Nimbus Roman No9 L" w:hAnsi="Nimbus Roman No9 L" w:eastAsia="仿宋_GB2312" w:cs="Nimbus Roman No9 L"/>
          <w:b/>
          <w:color w:val="auto"/>
          <w:sz w:val="32"/>
          <w:szCs w:val="32"/>
          <w:lang w:val="en-US" w:eastAsia="zh-CN"/>
        </w:rPr>
      </w:pPr>
      <w:r>
        <w:rPr>
          <w:rFonts w:hint="default" w:ascii="Nimbus Roman No9 L" w:hAnsi="Nimbus Roman No9 L" w:eastAsia="仿宋_GB2312" w:cs="Nimbus Roman No9 L"/>
          <w:b/>
          <w:color w:val="auto"/>
          <w:sz w:val="32"/>
          <w:szCs w:val="32"/>
          <w:lang w:val="en-US" w:eastAsia="zh-CN"/>
        </w:rPr>
        <w:t>2.引培高成长型企业</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default" w:ascii="Nimbus Roman No9 L" w:hAnsi="Nimbus Roman No9 L" w:eastAsia="仿宋_GB2312" w:cs="Nimbus Roman No9 L"/>
          <w:b w:val="0"/>
          <w:bCs/>
          <w:color w:val="auto"/>
          <w:sz w:val="32"/>
          <w:szCs w:val="32"/>
          <w:lang w:val="en-US" w:eastAsia="zh-CN"/>
        </w:rPr>
      </w:pPr>
      <w:r>
        <w:rPr>
          <w:rFonts w:hint="default" w:ascii="Nimbus Roman No9 L" w:hAnsi="Nimbus Roman No9 L" w:eastAsia="仿宋_GB2312" w:cs="Nimbus Roman No9 L"/>
          <w:b w:val="0"/>
          <w:bCs/>
          <w:color w:val="auto"/>
          <w:sz w:val="32"/>
          <w:szCs w:val="32"/>
          <w:lang w:val="en-US" w:eastAsia="zh-CN"/>
        </w:rPr>
        <w:t>强化中小企业创新主体地位，全面增强企业自主研发能力，引导创新要素向企业集聚，支持中小企业组织创新联合体，承担重大科研项目，推动企业成为技术创新决策、研发投入、科研组织和成果转化的主体。建立“雏鹰-瞪羚-领军”梯度培育机制，培育一批雏鹰企业，鼓励大学生、科研人员和龙头企业等有资源的人创新创业。支持瞪羚企业发展壮大，在应用场景、数据支持、评价奖励等方面给予支持，为瞪羚企业提供人才、技术、资金等全面资源链接服务，实现瞪羚企业高质量发展。鼓励企业加大研发投入、通过鼓励社会化融资、认定研发后补助等方式，分类精准施策，助推企业梯次壮大，培育一批细分领域“单项冠军”和“隐形冠军”。</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2" w:firstLineChars="200"/>
        <w:textAlignment w:val="auto"/>
        <w:rPr>
          <w:rFonts w:hint="default" w:ascii="Nimbus Roman No9 L" w:hAnsi="Nimbus Roman No9 L" w:eastAsia="仿宋_GB2312" w:cs="Nimbus Roman No9 L"/>
          <w:b/>
          <w:color w:val="auto"/>
          <w:sz w:val="32"/>
          <w:szCs w:val="32"/>
          <w:lang w:val="en-US" w:eastAsia="zh-CN"/>
        </w:rPr>
      </w:pPr>
      <w:r>
        <w:rPr>
          <w:rFonts w:hint="default" w:ascii="Nimbus Roman No9 L" w:hAnsi="Nimbus Roman No9 L" w:eastAsia="仿宋_GB2312" w:cs="Nimbus Roman No9 L"/>
          <w:b/>
          <w:color w:val="auto"/>
          <w:sz w:val="32"/>
          <w:szCs w:val="32"/>
          <w:lang w:val="en-US" w:eastAsia="zh-CN"/>
        </w:rPr>
        <w:t>3.深化混合所有制改革</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default" w:ascii="Nimbus Roman No9 L" w:hAnsi="Nimbus Roman No9 L" w:eastAsia="仿宋_GB2312" w:cs="Nimbus Roman No9 L"/>
          <w:b w:val="0"/>
          <w:bCs/>
          <w:color w:val="auto"/>
          <w:sz w:val="32"/>
          <w:szCs w:val="32"/>
        </w:rPr>
      </w:pPr>
      <w:r>
        <w:rPr>
          <w:rFonts w:hint="default" w:ascii="Nimbus Roman No9 L" w:hAnsi="Nimbus Roman No9 L" w:eastAsia="仿宋_GB2312" w:cs="Nimbus Roman No9 L"/>
          <w:b w:val="0"/>
          <w:bCs/>
          <w:color w:val="auto"/>
          <w:sz w:val="32"/>
          <w:szCs w:val="32"/>
        </w:rPr>
        <w:t>积极参与国有企业混合所有制改革，坚持以“混”促“改”，积极稳妥分层分类深化重点领域混合所有制改革。鼓励有条件的中小企业按照完善治理、强化激励、突出主业、提高效率的要求，通过出资入股、收购股权、认购可转债、股权置换等形式深度参与国有企业改制重组、合资经营和混合所有制改革，促进行业上下游和企业内部生产要素有效整合，加快提升新区中小企业规模和市场竞争力。突出目标导向、问题导向、政策导向，全面推进工业企业“小升规、规改股、股上市”。</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1"/>
        <w:rPr>
          <w:rFonts w:hint="default" w:ascii="Nimbus Roman No9 L" w:hAnsi="Nimbus Roman No9 L" w:eastAsia="楷体_GB2312" w:cs="Nimbus Roman No9 L"/>
          <w:color w:val="auto"/>
          <w:sz w:val="32"/>
          <w:szCs w:val="32"/>
        </w:rPr>
      </w:pPr>
      <w:bookmarkStart w:id="13" w:name="_Toc658488777_WPSOffice_Level2"/>
      <w:r>
        <w:rPr>
          <w:rFonts w:hint="default" w:ascii="Nimbus Roman No9 L" w:hAnsi="Nimbus Roman No9 L" w:eastAsia="楷体_GB2312" w:cs="Nimbus Roman No9 L"/>
          <w:color w:val="auto"/>
          <w:sz w:val="32"/>
          <w:szCs w:val="32"/>
        </w:rPr>
        <w:t>（四）提升产业集群竞争力</w:t>
      </w:r>
      <w:bookmarkEnd w:id="13"/>
    </w:p>
    <w:p>
      <w:pPr>
        <w:keepNext w:val="0"/>
        <w:keepLines w:val="0"/>
        <w:pageBreakBefore w:val="0"/>
        <w:widowControl w:val="0"/>
        <w:kinsoku/>
        <w:wordWrap/>
        <w:overflowPunct/>
        <w:topLinePunct w:val="0"/>
        <w:autoSpaceDE/>
        <w:autoSpaceDN/>
        <w:bidi w:val="0"/>
        <w:adjustRightInd/>
        <w:snapToGrid/>
        <w:spacing w:line="580" w:lineRule="exact"/>
        <w:ind w:firstLine="642" w:firstLineChars="200"/>
        <w:textAlignment w:val="auto"/>
        <w:rPr>
          <w:rFonts w:hint="default" w:ascii="Nimbus Roman No9 L" w:hAnsi="Nimbus Roman No9 L" w:eastAsia="仿宋_GB2312" w:cs="Nimbus Roman No9 L"/>
          <w:b/>
          <w:color w:val="auto"/>
          <w:sz w:val="32"/>
          <w:szCs w:val="32"/>
        </w:rPr>
      </w:pPr>
      <w:r>
        <w:rPr>
          <w:rFonts w:hint="default" w:ascii="Nimbus Roman No9 L" w:hAnsi="Nimbus Roman No9 L" w:eastAsia="仿宋_GB2312" w:cs="Nimbus Roman No9 L"/>
          <w:b/>
          <w:color w:val="auto"/>
          <w:sz w:val="32"/>
          <w:szCs w:val="32"/>
        </w:rPr>
        <w:t>1.强化串链补链强链</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Nimbus Roman No9 L" w:hAnsi="Nimbus Roman No9 L" w:eastAsia="仿宋_GB2312" w:cs="Nimbus Roman No9 L"/>
          <w:color w:val="auto"/>
          <w:sz w:val="32"/>
          <w:szCs w:val="32"/>
        </w:rPr>
      </w:pPr>
      <w:r>
        <w:rPr>
          <w:rFonts w:hint="default" w:ascii="Nimbus Roman No9 L" w:hAnsi="Nimbus Roman No9 L" w:eastAsia="仿宋_GB2312" w:cs="Nimbus Roman No9 L"/>
          <w:color w:val="auto"/>
          <w:sz w:val="32"/>
          <w:szCs w:val="32"/>
        </w:rPr>
        <w:t>围绕滨海新区现代工业体系，优选重点产业链，实施串补强链工程，提升产业链供应链现代化水平。做优“强链”，做强新一代信息技术、生物医药、动力电池、汽车和新能源汽车等具有较高竞争力的产业链，打造一批引领高质量发展的特色产业链。做大“新链”，发展壮大智能网联汽车、氢能等新兴产业链，构建一批引领现代化发展的新兴产业链。延长“短链”，补齐石油化工、航空航天等存在短板和薄弱环节的产业链条，形成一批引领竞争力提升的优势产业链。培育形成一批链主企业，整合产业链上下游资源，进一步串联关键环节，补齐薄弱环节，强化优势环节，提升产业链整体竞争力。</w:t>
      </w:r>
    </w:p>
    <w:p>
      <w:pPr>
        <w:keepNext w:val="0"/>
        <w:keepLines w:val="0"/>
        <w:pageBreakBefore w:val="0"/>
        <w:widowControl w:val="0"/>
        <w:kinsoku/>
        <w:wordWrap/>
        <w:overflowPunct/>
        <w:topLinePunct w:val="0"/>
        <w:autoSpaceDE/>
        <w:autoSpaceDN/>
        <w:bidi w:val="0"/>
        <w:adjustRightInd/>
        <w:snapToGrid/>
        <w:spacing w:line="580" w:lineRule="exact"/>
        <w:ind w:firstLine="642" w:firstLineChars="200"/>
        <w:textAlignment w:val="auto"/>
        <w:rPr>
          <w:rFonts w:hint="default" w:ascii="Nimbus Roman No9 L" w:hAnsi="Nimbus Roman No9 L" w:eastAsia="仿宋_GB2312" w:cs="Nimbus Roman No9 L"/>
          <w:b/>
          <w:color w:val="auto"/>
          <w:sz w:val="32"/>
          <w:szCs w:val="32"/>
        </w:rPr>
      </w:pPr>
      <w:r>
        <w:rPr>
          <w:rFonts w:hint="default" w:ascii="Nimbus Roman No9 L" w:hAnsi="Nimbus Roman No9 L" w:eastAsia="仿宋_GB2312" w:cs="Nimbus Roman No9 L"/>
          <w:b/>
          <w:color w:val="auto"/>
          <w:sz w:val="32"/>
          <w:szCs w:val="32"/>
          <w:lang w:val="en-US" w:eastAsia="zh-CN"/>
        </w:rPr>
        <w:t>2.</w:t>
      </w:r>
      <w:r>
        <w:rPr>
          <w:rFonts w:hint="default" w:ascii="Nimbus Roman No9 L" w:hAnsi="Nimbus Roman No9 L" w:eastAsia="仿宋_GB2312" w:cs="Nimbus Roman No9 L"/>
          <w:b/>
          <w:color w:val="auto"/>
          <w:sz w:val="32"/>
          <w:szCs w:val="32"/>
        </w:rPr>
        <w:t>夯实产业基础能力</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Nimbus Roman No9 L" w:hAnsi="Nimbus Roman No9 L" w:eastAsia="仿宋_GB2312" w:cs="Nimbus Roman No9 L"/>
          <w:color w:val="auto"/>
          <w:sz w:val="32"/>
          <w:szCs w:val="32"/>
        </w:rPr>
      </w:pPr>
      <w:r>
        <w:rPr>
          <w:rFonts w:hint="default" w:ascii="Nimbus Roman No9 L" w:hAnsi="Nimbus Roman No9 L" w:eastAsia="仿宋_GB2312" w:cs="Nimbus Roman No9 L"/>
          <w:color w:val="auto"/>
          <w:sz w:val="32"/>
          <w:szCs w:val="32"/>
        </w:rPr>
        <w:t>聚焦产业链供应链短板，以实现自主可控为目标，实施新五基强化工程，着力提升产品和技术竞争力。推动核心基础零部件和元器件自主化，实施重点产品一条龙计划、重点产业一揽子计划，实现产业化。加快关键基础材料核心技术攻关，着力建设高质量发展承载体，增强关键基础材料自主保障能力。加强先进基础工艺创新能力，组建产学研协同创新联盟，加强研发数字化、智能化发展。加快工业基础软件研发创新，突破高端工业软件核心技术，开发工业平台软件和应用软件，推动产业化应用。推进产业技术基础公共服务平台建设，为技术创新和产业发展提供支撑和服务。</w:t>
      </w:r>
    </w:p>
    <w:p>
      <w:pPr>
        <w:keepNext w:val="0"/>
        <w:keepLines w:val="0"/>
        <w:pageBreakBefore w:val="0"/>
        <w:widowControl w:val="0"/>
        <w:kinsoku/>
        <w:wordWrap/>
        <w:overflowPunct/>
        <w:topLinePunct w:val="0"/>
        <w:autoSpaceDE/>
        <w:autoSpaceDN/>
        <w:bidi w:val="0"/>
        <w:adjustRightInd/>
        <w:snapToGrid/>
        <w:spacing w:line="580" w:lineRule="exact"/>
        <w:ind w:firstLine="642" w:firstLineChars="200"/>
        <w:textAlignment w:val="auto"/>
        <w:rPr>
          <w:rFonts w:hint="default" w:ascii="Nimbus Roman No9 L" w:hAnsi="Nimbus Roman No9 L" w:eastAsia="仿宋_GB2312" w:cs="Nimbus Roman No9 L"/>
          <w:b/>
          <w:color w:val="auto"/>
          <w:sz w:val="32"/>
          <w:szCs w:val="32"/>
        </w:rPr>
      </w:pPr>
      <w:r>
        <w:rPr>
          <w:rFonts w:hint="default" w:ascii="Nimbus Roman No9 L" w:hAnsi="Nimbus Roman No9 L" w:eastAsia="仿宋_GB2312" w:cs="Nimbus Roman No9 L"/>
          <w:b/>
          <w:color w:val="auto"/>
          <w:sz w:val="32"/>
          <w:szCs w:val="32"/>
          <w:lang w:val="en-US" w:eastAsia="zh-CN"/>
        </w:rPr>
        <w:t>3.</w:t>
      </w:r>
      <w:r>
        <w:rPr>
          <w:rFonts w:hint="default" w:ascii="Nimbus Roman No9 L" w:hAnsi="Nimbus Roman No9 L" w:eastAsia="仿宋_GB2312" w:cs="Nimbus Roman No9 L"/>
          <w:b/>
          <w:color w:val="auto"/>
          <w:sz w:val="32"/>
          <w:szCs w:val="32"/>
        </w:rPr>
        <w:t>培育优势产业集群</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Nimbus Roman No9 L" w:hAnsi="Nimbus Roman No9 L" w:eastAsia="仿宋_GB2312" w:cs="Nimbus Roman No9 L"/>
          <w:color w:val="auto"/>
          <w:sz w:val="32"/>
          <w:szCs w:val="32"/>
        </w:rPr>
      </w:pPr>
      <w:r>
        <w:rPr>
          <w:rFonts w:hint="default" w:ascii="Nimbus Roman No9 L" w:hAnsi="Nimbus Roman No9 L" w:eastAsia="仿宋_GB2312" w:cs="Nimbus Roman No9 L"/>
          <w:color w:val="auto"/>
          <w:sz w:val="32"/>
          <w:szCs w:val="32"/>
        </w:rPr>
        <w:t>对标世界制造业先进水平，坚持扩大优势，探索构建“一集群一机构”产业服务体系，着力培育全国领先的先进制造业集群。积极参加国家先进制造业集群竞赛，在各开发区重点布局一批细分领域新兴产业集群，谋划打造1-2个先进制造业产业集群。举全区之力打造世界级的产业集聚区，打造新一代信息技术、生物医药、装备制造、新能源新材料、航空航天五大集群。发展区域特色名片产业，充分发挥各开发区产业优势，鼓励壮大集群规模，培育经开区汽车特色产业、经开区（南港工业区）石油化工特色产业、保税区海洋特色产业、高新区信息安全与服务特色产业四大特色产业集群。</w:t>
      </w:r>
    </w:p>
    <w:p>
      <w:pPr>
        <w:keepNext w:val="0"/>
        <w:keepLines w:val="0"/>
        <w:pageBreakBefore w:val="0"/>
        <w:widowControl w:val="0"/>
        <w:kinsoku/>
        <w:wordWrap/>
        <w:overflowPunct/>
        <w:topLinePunct w:val="0"/>
        <w:autoSpaceDE/>
        <w:autoSpaceDN/>
        <w:bidi w:val="0"/>
        <w:adjustRightInd/>
        <w:snapToGrid/>
        <w:spacing w:line="580" w:lineRule="exact"/>
        <w:ind w:firstLine="642" w:firstLineChars="200"/>
        <w:textAlignment w:val="auto"/>
        <w:rPr>
          <w:rFonts w:hint="default" w:ascii="Nimbus Roman No9 L" w:hAnsi="Nimbus Roman No9 L" w:eastAsia="仿宋_GB2312" w:cs="Nimbus Roman No9 L"/>
          <w:b/>
          <w:color w:val="auto"/>
          <w:sz w:val="32"/>
          <w:szCs w:val="32"/>
        </w:rPr>
      </w:pPr>
      <w:r>
        <w:rPr>
          <w:rFonts w:hint="default" w:ascii="Nimbus Roman No9 L" w:hAnsi="Nimbus Roman No9 L" w:eastAsia="仿宋_GB2312" w:cs="Nimbus Roman No9 L"/>
          <w:b/>
          <w:color w:val="auto"/>
          <w:sz w:val="32"/>
          <w:szCs w:val="32"/>
          <w:lang w:val="en-US" w:eastAsia="zh-CN"/>
        </w:rPr>
        <w:t>4.</w:t>
      </w:r>
      <w:r>
        <w:rPr>
          <w:rFonts w:hint="default" w:ascii="Nimbus Roman No9 L" w:hAnsi="Nimbus Roman No9 L" w:eastAsia="仿宋_GB2312" w:cs="Nimbus Roman No9 L"/>
          <w:b/>
          <w:color w:val="auto"/>
          <w:sz w:val="32"/>
          <w:szCs w:val="32"/>
        </w:rPr>
        <w:t>提升协同创新能力</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Nimbus Roman No9 L" w:hAnsi="Nimbus Roman No9 L" w:eastAsia="仿宋_GB2312" w:cs="Nimbus Roman No9 L"/>
          <w:color w:val="auto"/>
          <w:sz w:val="32"/>
          <w:szCs w:val="32"/>
        </w:rPr>
      </w:pPr>
      <w:r>
        <w:rPr>
          <w:rFonts w:hint="default" w:ascii="Nimbus Roman No9 L" w:hAnsi="Nimbus Roman No9 L" w:eastAsia="仿宋_GB2312" w:cs="Nimbus Roman No9 L"/>
          <w:color w:val="auto"/>
          <w:sz w:val="32"/>
          <w:szCs w:val="32"/>
        </w:rPr>
        <w:t>鼓励和支持集群企业与高校、科研机构建立产学研用协同创新网络，采用联合组建产业联盟或研发联盟等新型合作模式，推动共性技术研发和推广应用，引导创新资源向集群集聚。推动建立集群龙头企业与配套企业专业化协作体系，带动集群内中小企业发展。加强技术创新、智能制造等的公共技术服务平台建设，为集群产业链的延伸完善和中小企业创业创新提供支撑。强化产业集群知识产权服务机制，鼓励引导企业技术创新、产品创新和商业模式创新。</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1"/>
        <w:rPr>
          <w:rFonts w:hint="default" w:ascii="Nimbus Roman No9 L" w:hAnsi="Nimbus Roman No9 L" w:eastAsia="楷体_GB2312" w:cs="Nimbus Roman No9 L"/>
          <w:color w:val="auto"/>
          <w:sz w:val="32"/>
          <w:szCs w:val="32"/>
        </w:rPr>
      </w:pPr>
      <w:bookmarkStart w:id="14" w:name="_Toc257442793_WPSOffice_Level2"/>
      <w:r>
        <w:rPr>
          <w:rFonts w:hint="default" w:ascii="Nimbus Roman No9 L" w:hAnsi="Nimbus Roman No9 L" w:eastAsia="楷体_GB2312" w:cs="Nimbus Roman No9 L"/>
          <w:color w:val="auto"/>
          <w:sz w:val="32"/>
          <w:szCs w:val="32"/>
        </w:rPr>
        <w:t>（五）</w:t>
      </w:r>
      <w:r>
        <w:rPr>
          <w:rFonts w:hint="default" w:ascii="Nimbus Roman No9 L" w:hAnsi="Nimbus Roman No9 L" w:eastAsia="楷体_GB2312" w:cs="Nimbus Roman No9 L"/>
          <w:color w:val="auto"/>
          <w:sz w:val="32"/>
          <w:szCs w:val="32"/>
          <w:lang w:eastAsia="zh-Hans"/>
        </w:rPr>
        <w:t>打造</w:t>
      </w:r>
      <w:r>
        <w:rPr>
          <w:rFonts w:hint="default" w:ascii="Nimbus Roman No9 L" w:hAnsi="Nimbus Roman No9 L" w:eastAsia="楷体_GB2312" w:cs="Nimbus Roman No9 L"/>
          <w:color w:val="auto"/>
          <w:sz w:val="32"/>
          <w:szCs w:val="32"/>
        </w:rPr>
        <w:t>中小企业特色载体</w:t>
      </w:r>
      <w:r>
        <w:rPr>
          <w:rFonts w:hint="default" w:ascii="Nimbus Roman No9 L" w:hAnsi="Nimbus Roman No9 L" w:eastAsia="楷体_GB2312" w:cs="Nimbus Roman No9 L"/>
          <w:color w:val="auto"/>
          <w:sz w:val="32"/>
          <w:szCs w:val="32"/>
          <w:lang w:eastAsia="zh-Hans"/>
        </w:rPr>
        <w:t>建设</w:t>
      </w:r>
      <w:bookmarkEnd w:id="14"/>
    </w:p>
    <w:p>
      <w:pPr>
        <w:pStyle w:val="22"/>
        <w:keepNext w:val="0"/>
        <w:keepLines w:val="0"/>
        <w:pageBreakBefore w:val="0"/>
        <w:widowControl w:val="0"/>
        <w:kinsoku/>
        <w:wordWrap/>
        <w:overflowPunct/>
        <w:topLinePunct w:val="0"/>
        <w:autoSpaceDE/>
        <w:autoSpaceDN/>
        <w:bidi w:val="0"/>
        <w:adjustRightInd/>
        <w:snapToGrid/>
        <w:spacing w:line="580" w:lineRule="exact"/>
        <w:ind w:firstLine="643"/>
        <w:textAlignment w:val="auto"/>
        <w:rPr>
          <w:rFonts w:hint="default" w:ascii="Nimbus Roman No9 L" w:hAnsi="Nimbus Roman No9 L" w:eastAsia="仿宋_GB2312" w:cs="Nimbus Roman No9 L"/>
          <w:b/>
          <w:color w:val="auto"/>
          <w:sz w:val="32"/>
          <w:szCs w:val="32"/>
          <w:lang w:eastAsia="zh-CN"/>
        </w:rPr>
      </w:pPr>
      <w:r>
        <w:rPr>
          <w:rFonts w:hint="default" w:ascii="Nimbus Roman No9 L" w:hAnsi="Nimbus Roman No9 L" w:eastAsia="仿宋_GB2312" w:cs="Nimbus Roman No9 L"/>
          <w:b/>
          <w:color w:val="auto"/>
          <w:sz w:val="32"/>
          <w:szCs w:val="32"/>
        </w:rPr>
        <w:t>1.打造滨海特色主题园区</w:t>
      </w:r>
    </w:p>
    <w:p>
      <w:pPr>
        <w:pStyle w:val="22"/>
        <w:keepNext w:val="0"/>
        <w:keepLines w:val="0"/>
        <w:pageBreakBefore w:val="0"/>
        <w:widowControl w:val="0"/>
        <w:kinsoku/>
        <w:wordWrap/>
        <w:overflowPunct/>
        <w:topLinePunct w:val="0"/>
        <w:autoSpaceDE/>
        <w:autoSpaceDN/>
        <w:bidi w:val="0"/>
        <w:adjustRightInd/>
        <w:snapToGrid/>
        <w:spacing w:line="580" w:lineRule="exact"/>
        <w:ind w:firstLine="643"/>
        <w:textAlignment w:val="auto"/>
        <w:rPr>
          <w:rFonts w:hint="default" w:ascii="Nimbus Roman No9 L" w:hAnsi="Nimbus Roman No9 L" w:eastAsia="仿宋_GB2312" w:cs="Nimbus Roman No9 L"/>
          <w:color w:val="auto"/>
          <w:sz w:val="32"/>
          <w:szCs w:val="32"/>
        </w:rPr>
      </w:pPr>
      <w:r>
        <w:rPr>
          <w:rFonts w:hint="default" w:ascii="Nimbus Roman No9 L" w:hAnsi="Nimbus Roman No9 L" w:eastAsia="仿宋_GB2312" w:cs="Nimbus Roman No9 L"/>
          <w:color w:val="auto"/>
          <w:sz w:val="32"/>
          <w:szCs w:val="32"/>
        </w:rPr>
        <w:t>落实《党建引领共同缔造美丽“滨城”的指导意见》要求，积极推广园区共同缔造理事会管理模式，聚焦智能科技、生物医药、新能源、新材料等领域，推进重点产业向重点园区聚集、重点园区向特色产业聚焦，建设一批有主题、有灵魂的产业生态园。按照新主体、新功能、新服务、新基建、新治理的“五新”发展方向以及绿色安全发展要求，建设高品质、高能级的现代产业园区。集聚一批主业突出、自主创新能力强、品牌优势明显、带动作用强的领军型企业。强化创新引领，大力培育创新型高成长科技企业、“专精特新”企业、制造业单项冠军企业，培育若干创新引领的排头兵企业。发挥创新资源集聚优势，强化产业技术研究院、企业创新中心等新型研发机构创新主体和市场主体地位，引领先进制造业高端发展。</w:t>
      </w:r>
    </w:p>
    <w:p>
      <w:pPr>
        <w:pStyle w:val="22"/>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0" w:firstLineChars="0"/>
        <w:jc w:val="center"/>
        <w:textAlignment w:val="auto"/>
        <w:rPr>
          <w:rFonts w:hint="default" w:ascii="Nimbus Roman No9 L" w:hAnsi="Nimbus Roman No9 L" w:eastAsia="仿宋_GB2312" w:cs="Nimbus Roman No9 L"/>
          <w:b w:val="0"/>
          <w:bCs/>
          <w:color w:val="auto"/>
          <w:sz w:val="32"/>
          <w:szCs w:val="32"/>
        </w:rPr>
      </w:pPr>
      <w:bookmarkStart w:id="15" w:name="_Toc8531"/>
      <w:bookmarkStart w:id="16" w:name="_Toc184031534_WPSOffice_Level3"/>
      <w:bookmarkStart w:id="17" w:name="_Toc2077751802_WPSOffice_Level3"/>
      <w:r>
        <w:rPr>
          <w:rFonts w:hint="default" w:ascii="Nimbus Roman No9 L" w:hAnsi="Nimbus Roman No9 L" w:eastAsia="仿宋_GB2312" w:cs="Nimbus Roman No9 L"/>
          <w:b w:val="0"/>
          <w:bCs/>
          <w:color w:val="auto"/>
          <w:sz w:val="32"/>
          <w:szCs w:val="32"/>
        </w:rPr>
        <w:t>专栏2  滨海新区特色</w:t>
      </w:r>
      <w:bookmarkEnd w:id="15"/>
      <w:r>
        <w:rPr>
          <w:rFonts w:hint="default" w:ascii="Nimbus Roman No9 L" w:hAnsi="Nimbus Roman No9 L" w:eastAsia="仿宋_GB2312" w:cs="Nimbus Roman No9 L"/>
          <w:b w:val="0"/>
          <w:bCs/>
          <w:color w:val="auto"/>
          <w:sz w:val="32"/>
          <w:szCs w:val="32"/>
        </w:rPr>
        <w:t>主题园区</w:t>
      </w:r>
      <w:bookmarkEnd w:id="16"/>
      <w:bookmarkEnd w:id="17"/>
    </w:p>
    <w:tbl>
      <w:tblPr>
        <w:tblStyle w:val="14"/>
        <w:tblW w:w="0" w:type="auto"/>
        <w:tblInd w:w="4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200" w:type="dxa"/>
          </w:tcPr>
          <w:p>
            <w:pPr>
              <w:keepNext w:val="0"/>
              <w:keepLines w:val="0"/>
              <w:pageBreakBefore w:val="0"/>
              <w:widowControl w:val="0"/>
              <w:kinsoku/>
              <w:wordWrap/>
              <w:overflowPunct/>
              <w:topLinePunct w:val="0"/>
              <w:autoSpaceDE/>
              <w:autoSpaceDN/>
              <w:bidi w:val="0"/>
              <w:adjustRightInd w:val="0"/>
              <w:snapToGrid w:val="0"/>
              <w:spacing w:line="540" w:lineRule="exact"/>
              <w:ind w:firstLine="481" w:firstLineChars="200"/>
              <w:textAlignment w:val="auto"/>
              <w:outlineLvl w:val="3"/>
              <w:rPr>
                <w:rFonts w:hint="default" w:ascii="Nimbus Roman No9 L" w:hAnsi="Nimbus Roman No9 L" w:eastAsia="仿宋_GB2312" w:cs="Nimbus Roman No9 L"/>
                <w:b/>
                <w:bCs/>
                <w:color w:val="auto"/>
                <w:kern w:val="0"/>
                <w:sz w:val="24"/>
                <w:szCs w:val="24"/>
                <w:lang w:val="zh-TW" w:eastAsia="zh-TW"/>
              </w:rPr>
            </w:pPr>
            <w:r>
              <w:rPr>
                <w:rFonts w:hint="default" w:ascii="Nimbus Roman No9 L" w:hAnsi="Nimbus Roman No9 L" w:eastAsia="仿宋_GB2312" w:cs="Nimbus Roman No9 L"/>
                <w:b/>
                <w:bCs/>
                <w:color w:val="auto"/>
                <w:kern w:val="0"/>
                <w:sz w:val="24"/>
                <w:szCs w:val="24"/>
              </w:rPr>
              <w:t>1.</w:t>
            </w:r>
            <w:r>
              <w:rPr>
                <w:rFonts w:hint="default" w:ascii="Nimbus Roman No9 L" w:hAnsi="Nimbus Roman No9 L" w:eastAsia="仿宋_GB2312" w:cs="Nimbus Roman No9 L"/>
                <w:b/>
                <w:bCs/>
                <w:color w:val="auto"/>
                <w:kern w:val="0"/>
                <w:sz w:val="24"/>
                <w:szCs w:val="24"/>
                <w:lang w:val="zh-TW" w:eastAsia="zh-TW"/>
              </w:rPr>
              <w:t>中国信创谷</w:t>
            </w:r>
          </w:p>
          <w:p>
            <w:pPr>
              <w:keepNext w:val="0"/>
              <w:keepLines w:val="0"/>
              <w:pageBreakBefore w:val="0"/>
              <w:widowControl w:val="0"/>
              <w:kinsoku/>
              <w:wordWrap/>
              <w:overflowPunct/>
              <w:topLinePunct w:val="0"/>
              <w:autoSpaceDE/>
              <w:autoSpaceDN/>
              <w:bidi w:val="0"/>
              <w:adjustRightInd w:val="0"/>
              <w:snapToGrid w:val="0"/>
              <w:spacing w:line="540" w:lineRule="exact"/>
              <w:ind w:firstLine="480" w:firstLineChars="200"/>
              <w:textAlignment w:val="auto"/>
              <w:rPr>
                <w:rFonts w:hint="default" w:ascii="Nimbus Roman No9 L" w:hAnsi="Nimbus Roman No9 L" w:eastAsia="仿宋_GB2312" w:cs="Nimbus Roman No9 L"/>
                <w:color w:val="auto"/>
                <w:kern w:val="0"/>
                <w:sz w:val="24"/>
                <w:szCs w:val="24"/>
                <w:lang w:val="zh-TW"/>
              </w:rPr>
            </w:pPr>
            <w:r>
              <w:rPr>
                <w:rFonts w:hint="default" w:ascii="Nimbus Roman No9 L" w:hAnsi="Nimbus Roman No9 L" w:eastAsia="仿宋_GB2312" w:cs="Nimbus Roman No9 L"/>
                <w:color w:val="auto"/>
                <w:kern w:val="0"/>
                <w:sz w:val="24"/>
                <w:szCs w:val="24"/>
                <w:lang w:val="zh-TW"/>
              </w:rPr>
              <w:t>由高新区牵头，以海洋片区为核心承载区，聚力打造“中国信创谷”。全力突破一批关键技术、引聚一批高水平企业、建成一批高能级平台、落户一批高附加值产业项目，打造“代表天津、引领中国、走向全球”的世界级信创产业集群。一是构建“311”信息技术应用创新产业体系。做大做强硬件链、软件链、服务链三大信创核心三链；做实“信息安全”一大保障；做精“军民融合”一大特色。二是强化核心承载区建设。构建“北产能、南动能、东孵化、中聚核”三区一核的空间结构，建设“生产、生活、生态”融合的多功能高品质的生活空间，形成创意交流、纵横通畅、配套完善、丰富有趣的社交空间，打造“信创理想城”。三是实施“主体引聚、平台搭建、场景驱动、金融赋能、群体突破”五大工程，构建政产学研用金服一体化联合创新生态，搭建信创领域自主可控兼容适配平台，支撑打造自主算力引擎的国家级领航区，形成高端、高新、高价值信创产业集聚中心，输出中国技术、中国标准、中国方案。</w:t>
            </w:r>
          </w:p>
          <w:p>
            <w:pPr>
              <w:keepNext w:val="0"/>
              <w:keepLines w:val="0"/>
              <w:pageBreakBefore w:val="0"/>
              <w:widowControl w:val="0"/>
              <w:kinsoku/>
              <w:wordWrap/>
              <w:overflowPunct/>
              <w:topLinePunct w:val="0"/>
              <w:autoSpaceDE/>
              <w:autoSpaceDN/>
              <w:bidi w:val="0"/>
              <w:adjustRightInd w:val="0"/>
              <w:snapToGrid w:val="0"/>
              <w:spacing w:line="540" w:lineRule="exact"/>
              <w:ind w:firstLine="481" w:firstLineChars="200"/>
              <w:textAlignment w:val="auto"/>
              <w:outlineLvl w:val="3"/>
              <w:rPr>
                <w:rFonts w:hint="default" w:ascii="Nimbus Roman No9 L" w:hAnsi="Nimbus Roman No9 L" w:eastAsia="仿宋_GB2312" w:cs="Nimbus Roman No9 L"/>
                <w:b/>
                <w:bCs/>
                <w:color w:val="auto"/>
                <w:kern w:val="0"/>
                <w:sz w:val="24"/>
                <w:szCs w:val="24"/>
                <w:lang w:val="zh-TW"/>
              </w:rPr>
            </w:pPr>
            <w:r>
              <w:rPr>
                <w:rFonts w:hint="default" w:ascii="Nimbus Roman No9 L" w:hAnsi="Nimbus Roman No9 L" w:eastAsia="仿宋_GB2312" w:cs="Nimbus Roman No9 L"/>
                <w:b/>
                <w:bCs/>
                <w:color w:val="auto"/>
                <w:kern w:val="0"/>
                <w:sz w:val="24"/>
                <w:szCs w:val="24"/>
              </w:rPr>
              <w:t>2.</w:t>
            </w:r>
            <w:r>
              <w:rPr>
                <w:rFonts w:hint="default" w:ascii="Nimbus Roman No9 L" w:hAnsi="Nimbus Roman No9 L" w:eastAsia="仿宋_GB2312" w:cs="Nimbus Roman No9 L"/>
                <w:b/>
                <w:bCs/>
                <w:color w:val="auto"/>
                <w:kern w:val="0"/>
                <w:sz w:val="24"/>
                <w:szCs w:val="24"/>
                <w:lang w:val="zh-TW"/>
              </w:rPr>
              <w:t>京津冀特色“细胞谷”</w:t>
            </w:r>
          </w:p>
          <w:p>
            <w:pPr>
              <w:keepNext w:val="0"/>
              <w:keepLines w:val="0"/>
              <w:pageBreakBefore w:val="0"/>
              <w:widowControl w:val="0"/>
              <w:kinsoku/>
              <w:wordWrap/>
              <w:overflowPunct/>
              <w:topLinePunct w:val="0"/>
              <w:autoSpaceDE/>
              <w:autoSpaceDN/>
              <w:bidi w:val="0"/>
              <w:adjustRightInd w:val="0"/>
              <w:snapToGrid w:val="0"/>
              <w:spacing w:line="540" w:lineRule="exact"/>
              <w:ind w:firstLine="480" w:firstLineChars="200"/>
              <w:textAlignment w:val="auto"/>
              <w:outlineLvl w:val="3"/>
              <w:rPr>
                <w:rFonts w:hint="default" w:ascii="Nimbus Roman No9 L" w:hAnsi="Nimbus Roman No9 L" w:eastAsia="仿宋_GB2312" w:cs="Nimbus Roman No9 L"/>
                <w:color w:val="auto"/>
                <w:kern w:val="0"/>
                <w:sz w:val="24"/>
                <w:szCs w:val="24"/>
              </w:rPr>
            </w:pPr>
            <w:r>
              <w:rPr>
                <w:rFonts w:hint="default" w:ascii="Nimbus Roman No9 L" w:hAnsi="Nimbus Roman No9 L" w:eastAsia="仿宋_GB2312" w:cs="Nimbus Roman No9 L"/>
                <w:color w:val="auto"/>
                <w:kern w:val="0"/>
                <w:sz w:val="24"/>
                <w:szCs w:val="24"/>
              </w:rPr>
              <w:t>由经开区和高新区分别牵头，打造“细胞谷”试验区，充分发挥国家干细胞工厂技术研究中心、实验血液学国家重点实验室等创新平台的引领带动作用，依托核心企业研发技术优势，突破干细胞、CAR-T免疫细胞、基因治疗、疫苗抗体、重组蛋白、核苷核酸等领域核心关键技术；整合天津市第五中心医院、泰达国际心血管病医院等医疗机构的临床研究能力，建设国家级一类创新药医学研究与试验平台；联合行业龙头企业与医疗机构、研究机构共同建设第三方细胞产品质控研究评价中心及药前临床前研究平台，强化质量控制体系；建设细胞存储-制备-生产平台、研发外包服务平台、医疗大数据服务平台；依托天津国际生物医药联合研究院、中科院天津工业生物技术研究所、中英医疗健康产业基地、九州通健康产业园等平台，加强细胞产业孵化转化及产业化。</w:t>
            </w:r>
          </w:p>
          <w:p>
            <w:pPr>
              <w:keepNext w:val="0"/>
              <w:keepLines w:val="0"/>
              <w:pageBreakBefore w:val="0"/>
              <w:widowControl w:val="0"/>
              <w:kinsoku/>
              <w:wordWrap/>
              <w:overflowPunct/>
              <w:topLinePunct w:val="0"/>
              <w:autoSpaceDE/>
              <w:autoSpaceDN/>
              <w:bidi w:val="0"/>
              <w:adjustRightInd w:val="0"/>
              <w:snapToGrid w:val="0"/>
              <w:spacing w:line="540" w:lineRule="exact"/>
              <w:ind w:firstLine="481" w:firstLineChars="200"/>
              <w:textAlignment w:val="auto"/>
              <w:outlineLvl w:val="3"/>
              <w:rPr>
                <w:rFonts w:hint="default" w:ascii="Nimbus Roman No9 L" w:hAnsi="Nimbus Roman No9 L" w:eastAsia="仿宋_GB2312" w:cs="Nimbus Roman No9 L"/>
                <w:b/>
                <w:bCs/>
                <w:color w:val="auto"/>
                <w:kern w:val="0"/>
                <w:sz w:val="24"/>
                <w:szCs w:val="24"/>
              </w:rPr>
            </w:pPr>
            <w:r>
              <w:rPr>
                <w:rFonts w:hint="default" w:ascii="Nimbus Roman No9 L" w:hAnsi="Nimbus Roman No9 L" w:eastAsia="仿宋_GB2312" w:cs="Nimbus Roman No9 L"/>
                <w:b/>
                <w:bCs/>
                <w:color w:val="auto"/>
                <w:kern w:val="0"/>
                <w:sz w:val="24"/>
                <w:szCs w:val="24"/>
              </w:rPr>
              <w:t>3.</w:t>
            </w:r>
            <w:r>
              <w:rPr>
                <w:rFonts w:hint="default" w:ascii="Nimbus Roman No9 L" w:hAnsi="Nimbus Roman No9 L" w:eastAsia="仿宋_GB2312" w:cs="Nimbus Roman No9 L"/>
                <w:b/>
                <w:bCs/>
                <w:color w:val="auto"/>
                <w:kern w:val="0"/>
                <w:sz w:val="24"/>
                <w:szCs w:val="24"/>
                <w:lang w:val="zh-TW"/>
              </w:rPr>
              <w:t>生物制造谷</w:t>
            </w:r>
          </w:p>
          <w:p>
            <w:pPr>
              <w:keepNext w:val="0"/>
              <w:keepLines w:val="0"/>
              <w:pageBreakBefore w:val="0"/>
              <w:widowControl w:val="0"/>
              <w:kinsoku/>
              <w:wordWrap/>
              <w:overflowPunct/>
              <w:topLinePunct w:val="0"/>
              <w:autoSpaceDE/>
              <w:autoSpaceDN/>
              <w:bidi w:val="0"/>
              <w:adjustRightInd w:val="0"/>
              <w:snapToGrid w:val="0"/>
              <w:spacing w:line="540" w:lineRule="exact"/>
              <w:ind w:firstLine="480" w:firstLineChars="200"/>
              <w:textAlignment w:val="auto"/>
              <w:outlineLvl w:val="3"/>
              <w:rPr>
                <w:rFonts w:hint="default" w:ascii="Nimbus Roman No9 L" w:hAnsi="Nimbus Roman No9 L" w:eastAsia="仿宋_GB2312" w:cs="Nimbus Roman No9 L"/>
                <w:color w:val="auto"/>
                <w:kern w:val="0"/>
                <w:sz w:val="24"/>
                <w:szCs w:val="24"/>
              </w:rPr>
            </w:pPr>
            <w:r>
              <w:rPr>
                <w:rFonts w:hint="default" w:ascii="Nimbus Roman No9 L" w:hAnsi="Nimbus Roman No9 L" w:eastAsia="仿宋_GB2312" w:cs="Nimbus Roman No9 L"/>
                <w:color w:val="auto"/>
                <w:kern w:val="0"/>
                <w:sz w:val="24"/>
                <w:szCs w:val="24"/>
              </w:rPr>
              <w:t>由保税区牵头，充分发挥中科院天津工业生物技术研究所和国家合成生物技术创新中心的引领带动作用，聚焦攻关提升生物制造前沿核心技术能力，构建生物制造自主创新产业体系，形成生物制造“技术创新-成果转化-产业应用-反哺创新”的融通发展格局。布局合成生物底层共性技术，布局基因合成、生物制造、合成医疗、合成农业、环境健康与生物安全等攻关方向，重点突破工业发酵菌种、化药生物合成、人工本草、</w:t>
            </w:r>
            <w:r>
              <w:rPr>
                <w:rFonts w:hint="default" w:ascii="Nimbus Roman No9 L" w:hAnsi="Nimbus Roman No9 L" w:cs="Nimbus Roman No9 L"/>
                <w:lang w:val="en-US" w:eastAsia="zh-CN"/>
              </w:rPr>
              <w:t>CO</w:t>
            </w:r>
            <w:r>
              <w:rPr>
                <w:rFonts w:hint="default" w:ascii="Nimbus Roman No9 L" w:hAnsi="Nimbus Roman No9 L" w:cs="Nimbus Roman No9 L"/>
                <w:sz w:val="21"/>
                <w:vertAlign w:val="subscript"/>
                <w:lang w:val="en-US" w:eastAsia="zh-CN"/>
              </w:rPr>
              <w:t>2</w:t>
            </w:r>
            <w:r>
              <w:rPr>
                <w:rFonts w:hint="default" w:ascii="Nimbus Roman No9 L" w:hAnsi="Nimbus Roman No9 L" w:eastAsia="仿宋_GB2312" w:cs="Nimbus Roman No9 L"/>
                <w:color w:val="auto"/>
                <w:kern w:val="0"/>
                <w:sz w:val="24"/>
                <w:szCs w:val="24"/>
              </w:rPr>
              <w:t>生物转化、未来食品、秸秆转化与未来化工等产业关键核心技术，推进合成生物在产业领域的应用。重点强化新型酶制剂、生物制造装备、健康糖和医药中间体四大基础产业链，壮大生物医药制造、生物农业与食品制造、生物基材料制造三大核心应用产业链，构建全链条协同发展的产业体系，开展国际合作技术攻关、产能合作，打造全球生物制造产业的技术创新高地。</w:t>
            </w:r>
          </w:p>
          <w:p>
            <w:pPr>
              <w:keepNext w:val="0"/>
              <w:keepLines w:val="0"/>
              <w:pageBreakBefore w:val="0"/>
              <w:widowControl w:val="0"/>
              <w:kinsoku/>
              <w:wordWrap/>
              <w:overflowPunct/>
              <w:topLinePunct w:val="0"/>
              <w:autoSpaceDE/>
              <w:autoSpaceDN/>
              <w:bidi w:val="0"/>
              <w:adjustRightInd w:val="0"/>
              <w:snapToGrid w:val="0"/>
              <w:spacing w:line="540" w:lineRule="exact"/>
              <w:ind w:firstLine="481" w:firstLineChars="200"/>
              <w:textAlignment w:val="auto"/>
              <w:outlineLvl w:val="3"/>
              <w:rPr>
                <w:rFonts w:hint="default" w:ascii="Nimbus Roman No9 L" w:hAnsi="Nimbus Roman No9 L" w:eastAsia="仿宋_GB2312" w:cs="Nimbus Roman No9 L"/>
                <w:b/>
                <w:bCs/>
                <w:color w:val="auto"/>
                <w:kern w:val="0"/>
                <w:sz w:val="24"/>
                <w:szCs w:val="24"/>
                <w:lang w:val="zh-TW"/>
              </w:rPr>
            </w:pPr>
            <w:r>
              <w:rPr>
                <w:rFonts w:hint="default" w:ascii="Nimbus Roman No9 L" w:hAnsi="Nimbus Roman No9 L" w:eastAsia="仿宋_GB2312" w:cs="Nimbus Roman No9 L"/>
                <w:b/>
                <w:bCs/>
                <w:color w:val="auto"/>
                <w:kern w:val="0"/>
                <w:sz w:val="24"/>
                <w:szCs w:val="24"/>
              </w:rPr>
              <w:t>4.</w:t>
            </w:r>
            <w:r>
              <w:rPr>
                <w:rFonts w:hint="default" w:ascii="Nimbus Roman No9 L" w:hAnsi="Nimbus Roman No9 L" w:eastAsia="仿宋_GB2312" w:cs="Nimbus Roman No9 L"/>
                <w:b/>
                <w:bCs/>
                <w:color w:val="auto"/>
                <w:kern w:val="0"/>
                <w:sz w:val="24"/>
                <w:szCs w:val="24"/>
                <w:lang w:val="zh-TW"/>
              </w:rPr>
              <w:t>北方声谷</w:t>
            </w:r>
          </w:p>
          <w:p>
            <w:pPr>
              <w:keepNext w:val="0"/>
              <w:keepLines w:val="0"/>
              <w:pageBreakBefore w:val="0"/>
              <w:widowControl w:val="0"/>
              <w:kinsoku/>
              <w:wordWrap/>
              <w:overflowPunct/>
              <w:topLinePunct w:val="0"/>
              <w:autoSpaceDE/>
              <w:autoSpaceDN/>
              <w:bidi w:val="0"/>
              <w:adjustRightInd w:val="0"/>
              <w:snapToGrid w:val="0"/>
              <w:spacing w:line="540" w:lineRule="exact"/>
              <w:ind w:firstLine="480" w:firstLineChars="200"/>
              <w:textAlignment w:val="auto"/>
              <w:rPr>
                <w:rFonts w:hint="default" w:ascii="Nimbus Roman No9 L" w:hAnsi="Nimbus Roman No9 L" w:eastAsia="仿宋_GB2312" w:cs="Nimbus Roman No9 L"/>
                <w:color w:val="auto"/>
                <w:kern w:val="0"/>
                <w:sz w:val="24"/>
                <w:szCs w:val="24"/>
              </w:rPr>
            </w:pPr>
            <w:r>
              <w:rPr>
                <w:rFonts w:hint="default" w:ascii="Nimbus Roman No9 L" w:hAnsi="Nimbus Roman No9 L" w:eastAsia="仿宋_GB2312" w:cs="Nimbus Roman No9 L"/>
                <w:color w:val="auto"/>
                <w:kern w:val="0"/>
                <w:sz w:val="24"/>
                <w:szCs w:val="24"/>
                <w:lang w:val="zh-TW"/>
              </w:rPr>
              <w:t>由保税区牵头，依托智汇谷平台，重点布局智能语音识别、工业机器人等领域，吸引语义识别、语音技术解决方案、远场语音交互等领域的重点企业落户，打造国内领先的人工智能产业发展高地。依托讯飞国家新一代人工智能开放创新平台天津中心，落地一批人工智能领域国内外顶尖的开发者、创业者，打造集智能语音、图像识别、自然语言处理等为一体的人工智能创新创业</w:t>
            </w:r>
            <w:r>
              <w:rPr>
                <w:rFonts w:hint="default" w:ascii="Nimbus Roman No9 L" w:hAnsi="Nimbus Roman No9 L" w:eastAsia="仿宋_GB2312" w:cs="Nimbus Roman No9 L"/>
                <w:color w:val="auto"/>
                <w:kern w:val="0"/>
                <w:sz w:val="24"/>
                <w:szCs w:val="24"/>
              </w:rPr>
              <w:t>服务平台。</w:t>
            </w:r>
          </w:p>
          <w:p>
            <w:pPr>
              <w:keepNext w:val="0"/>
              <w:keepLines w:val="0"/>
              <w:pageBreakBefore w:val="0"/>
              <w:widowControl w:val="0"/>
              <w:kinsoku/>
              <w:wordWrap/>
              <w:overflowPunct/>
              <w:topLinePunct w:val="0"/>
              <w:autoSpaceDE/>
              <w:autoSpaceDN/>
              <w:bidi w:val="0"/>
              <w:adjustRightInd w:val="0"/>
              <w:snapToGrid w:val="0"/>
              <w:spacing w:line="540" w:lineRule="exact"/>
              <w:ind w:firstLine="481" w:firstLineChars="200"/>
              <w:textAlignment w:val="auto"/>
              <w:outlineLvl w:val="2"/>
              <w:rPr>
                <w:rFonts w:hint="default" w:ascii="Nimbus Roman No9 L" w:hAnsi="Nimbus Roman No9 L" w:eastAsia="仿宋_GB2312" w:cs="Nimbus Roman No9 L"/>
                <w:b/>
                <w:bCs/>
                <w:color w:val="auto"/>
                <w:kern w:val="0"/>
                <w:sz w:val="24"/>
                <w:szCs w:val="24"/>
                <w:lang w:val="zh-TW" w:eastAsia="zh-TW"/>
              </w:rPr>
            </w:pPr>
            <w:bookmarkStart w:id="18" w:name="_Toc8885"/>
            <w:bookmarkStart w:id="19" w:name="_Toc30485"/>
            <w:bookmarkStart w:id="20" w:name="_Toc26851"/>
            <w:bookmarkStart w:id="21" w:name="_Toc10671"/>
            <w:r>
              <w:rPr>
                <w:rFonts w:hint="default" w:ascii="Nimbus Roman No9 L" w:hAnsi="Nimbus Roman No9 L" w:eastAsia="仿宋_GB2312" w:cs="Nimbus Roman No9 L"/>
                <w:b/>
                <w:bCs/>
                <w:color w:val="auto"/>
                <w:kern w:val="0"/>
                <w:sz w:val="24"/>
                <w:szCs w:val="24"/>
              </w:rPr>
              <w:t>5.</w:t>
            </w:r>
            <w:r>
              <w:rPr>
                <w:rFonts w:hint="default" w:ascii="Nimbus Roman No9 L" w:hAnsi="Nimbus Roman No9 L" w:eastAsia="仿宋_GB2312" w:cs="Nimbus Roman No9 L"/>
                <w:b/>
                <w:bCs/>
                <w:color w:val="auto"/>
                <w:kern w:val="0"/>
                <w:sz w:val="24"/>
                <w:szCs w:val="24"/>
                <w:lang w:val="zh-TW"/>
              </w:rPr>
              <w:t>化工</w:t>
            </w:r>
            <w:r>
              <w:rPr>
                <w:rFonts w:hint="default" w:ascii="Nimbus Roman No9 L" w:hAnsi="Nimbus Roman No9 L" w:eastAsia="仿宋_GB2312" w:cs="Nimbus Roman No9 L"/>
                <w:b/>
                <w:bCs/>
                <w:color w:val="auto"/>
                <w:kern w:val="0"/>
                <w:sz w:val="24"/>
                <w:szCs w:val="24"/>
                <w:lang w:val="zh-TW" w:eastAsia="zh-TW"/>
              </w:rPr>
              <w:t>新材料</w:t>
            </w:r>
            <w:bookmarkEnd w:id="18"/>
            <w:bookmarkEnd w:id="19"/>
            <w:bookmarkEnd w:id="20"/>
            <w:bookmarkEnd w:id="21"/>
          </w:p>
          <w:p>
            <w:pPr>
              <w:keepNext w:val="0"/>
              <w:keepLines w:val="0"/>
              <w:pageBreakBefore w:val="0"/>
              <w:widowControl w:val="0"/>
              <w:kinsoku/>
              <w:wordWrap/>
              <w:overflowPunct/>
              <w:topLinePunct w:val="0"/>
              <w:autoSpaceDE/>
              <w:autoSpaceDN/>
              <w:bidi w:val="0"/>
              <w:adjustRightInd w:val="0"/>
              <w:snapToGrid w:val="0"/>
              <w:spacing w:line="540" w:lineRule="exact"/>
              <w:ind w:firstLine="480" w:firstLineChars="200"/>
              <w:textAlignment w:val="auto"/>
              <w:rPr>
                <w:rFonts w:hint="default" w:ascii="Nimbus Roman No9 L" w:hAnsi="Nimbus Roman No9 L" w:eastAsia="仿宋_GB2312" w:cs="Nimbus Roman No9 L"/>
                <w:color w:val="auto"/>
                <w:kern w:val="0"/>
                <w:sz w:val="24"/>
                <w:szCs w:val="24"/>
              </w:rPr>
            </w:pPr>
            <w:r>
              <w:rPr>
                <w:rFonts w:hint="default" w:ascii="Nimbus Roman No9 L" w:hAnsi="Nimbus Roman No9 L" w:eastAsia="仿宋_GB2312" w:cs="Nimbus Roman No9 L"/>
                <w:color w:val="auto"/>
                <w:kern w:val="0"/>
                <w:sz w:val="24"/>
                <w:szCs w:val="24"/>
                <w:lang w:val="zh-TW"/>
              </w:rPr>
              <w:t>由经开区牵头，</w:t>
            </w:r>
            <w:r>
              <w:rPr>
                <w:rFonts w:hint="default" w:ascii="Nimbus Roman No9 L" w:hAnsi="Nimbus Roman No9 L" w:eastAsia="仿宋_GB2312" w:cs="Nimbus Roman No9 L"/>
                <w:color w:val="auto"/>
                <w:kern w:val="0"/>
                <w:sz w:val="24"/>
                <w:szCs w:val="24"/>
                <w:lang w:val="zh-TW" w:eastAsia="zh-TW"/>
              </w:rPr>
              <w:t>依托北化院、石科院、中石化工程院等专业研发机构以及</w:t>
            </w:r>
            <w:r>
              <w:rPr>
                <w:rFonts w:hint="default" w:ascii="Nimbus Roman No9 L" w:hAnsi="Nimbus Roman No9 L" w:eastAsia="仿宋_GB2312" w:cs="Nimbus Roman No9 L"/>
                <w:color w:val="auto"/>
                <w:kern w:val="0"/>
                <w:sz w:val="24"/>
                <w:szCs w:val="24"/>
                <w:lang w:val="zh-TW"/>
              </w:rPr>
              <w:t>相关领域龙头企业，以抗老化剂产品、膜材料、高性能工程塑料等功能性化学品、化工新材料为发展重点，</w:t>
            </w:r>
            <w:r>
              <w:rPr>
                <w:rFonts w:hint="default" w:ascii="Nimbus Roman No9 L" w:hAnsi="Nimbus Roman No9 L" w:eastAsia="仿宋_GB2312" w:cs="Nimbus Roman No9 L"/>
                <w:color w:val="auto"/>
                <w:kern w:val="0"/>
                <w:sz w:val="24"/>
                <w:szCs w:val="24"/>
              </w:rPr>
              <w:t>打造从油气开采、基础化工原料、合成材料到高技术含量、高附加值中下游产品、精细化工等化工新材料全产业链。</w:t>
            </w:r>
            <w:r>
              <w:rPr>
                <w:rFonts w:hint="default" w:ascii="Nimbus Roman No9 L" w:hAnsi="Nimbus Roman No9 L" w:eastAsia="仿宋_GB2312" w:cs="Nimbus Roman No9 L"/>
                <w:color w:val="auto"/>
                <w:kern w:val="0"/>
                <w:sz w:val="24"/>
                <w:szCs w:val="24"/>
                <w:lang w:val="zh-TW" w:eastAsia="zh-TW"/>
              </w:rPr>
              <w:t>形成优势专业协同和创新链、人才链、产业链、金融链协同，打造</w:t>
            </w:r>
            <w:r>
              <w:rPr>
                <w:rFonts w:hint="default" w:ascii="Nimbus Roman No9 L" w:hAnsi="Nimbus Roman No9 L" w:eastAsia="仿宋_GB2312" w:cs="Nimbus Roman No9 L"/>
                <w:color w:val="auto"/>
                <w:kern w:val="0"/>
                <w:sz w:val="24"/>
                <w:szCs w:val="24"/>
                <w:lang w:val="zh-TW"/>
              </w:rPr>
              <w:t>南港</w:t>
            </w:r>
            <w:r>
              <w:rPr>
                <w:rFonts w:hint="default" w:ascii="Nimbus Roman No9 L" w:hAnsi="Nimbus Roman No9 L" w:eastAsia="仿宋_GB2312" w:cs="Nimbus Roman No9 L"/>
                <w:color w:val="auto"/>
                <w:kern w:val="0"/>
                <w:sz w:val="24"/>
                <w:szCs w:val="24"/>
                <w:lang w:val="zh-TW" w:eastAsia="zh-TW"/>
              </w:rPr>
              <w:t>化工新材料</w:t>
            </w:r>
            <w:r>
              <w:rPr>
                <w:rFonts w:hint="default" w:ascii="Nimbus Roman No9 L" w:hAnsi="Nimbus Roman No9 L" w:eastAsia="仿宋_GB2312" w:cs="Nimbus Roman No9 L"/>
                <w:color w:val="auto"/>
                <w:kern w:val="0"/>
                <w:sz w:val="24"/>
                <w:szCs w:val="24"/>
                <w:lang w:val="zh-TW"/>
              </w:rPr>
              <w:t>基地，构建有特色的新材料产业生态体系</w:t>
            </w:r>
            <w:r>
              <w:rPr>
                <w:rFonts w:hint="default" w:ascii="Nimbus Roman No9 L" w:hAnsi="Nimbus Roman No9 L" w:eastAsia="仿宋_GB2312" w:cs="Nimbus Roman No9 L"/>
                <w:color w:val="auto"/>
                <w:kern w:val="0"/>
                <w:sz w:val="24"/>
                <w:szCs w:val="24"/>
                <w:lang w:val="zh-TW" w:eastAsia="zh-TW"/>
              </w:rPr>
              <w:t>。</w:t>
            </w:r>
            <w:r>
              <w:rPr>
                <w:rFonts w:hint="default" w:ascii="Nimbus Roman No9 L" w:hAnsi="Nimbus Roman No9 L" w:eastAsia="仿宋_GB2312" w:cs="Nimbus Roman No9 L"/>
                <w:color w:val="auto"/>
                <w:kern w:val="0"/>
                <w:sz w:val="24"/>
                <w:szCs w:val="24"/>
              </w:rPr>
              <w:t>聚焦先进制造和绿色发展需求，打造汽车轻量化材料、高端装备材料、电子信息材料、新能源关键材料、绿色可降解材料、节能环保材料和生物医用材料等为代表的新材料产业集群。</w:t>
            </w:r>
          </w:p>
          <w:p>
            <w:pPr>
              <w:keepNext w:val="0"/>
              <w:keepLines w:val="0"/>
              <w:pageBreakBefore w:val="0"/>
              <w:widowControl w:val="0"/>
              <w:kinsoku/>
              <w:wordWrap/>
              <w:overflowPunct/>
              <w:topLinePunct w:val="0"/>
              <w:autoSpaceDE/>
              <w:autoSpaceDN/>
              <w:bidi w:val="0"/>
              <w:adjustRightInd w:val="0"/>
              <w:snapToGrid w:val="0"/>
              <w:spacing w:line="540" w:lineRule="exact"/>
              <w:ind w:firstLine="481" w:firstLineChars="200"/>
              <w:textAlignment w:val="auto"/>
              <w:outlineLvl w:val="2"/>
              <w:rPr>
                <w:rFonts w:hint="default" w:ascii="Nimbus Roman No9 L" w:hAnsi="Nimbus Roman No9 L" w:eastAsia="仿宋_GB2312" w:cs="Nimbus Roman No9 L"/>
                <w:b/>
                <w:bCs/>
                <w:color w:val="auto"/>
                <w:kern w:val="0"/>
                <w:sz w:val="24"/>
                <w:szCs w:val="24"/>
                <w:lang w:val="zh-TW"/>
              </w:rPr>
            </w:pPr>
            <w:bookmarkStart w:id="22" w:name="_Toc13614"/>
            <w:bookmarkStart w:id="23" w:name="_Toc8586"/>
            <w:bookmarkStart w:id="24" w:name="_Toc5777"/>
            <w:bookmarkStart w:id="25" w:name="_Toc18606"/>
            <w:r>
              <w:rPr>
                <w:rFonts w:hint="default" w:ascii="Nimbus Roman No9 L" w:hAnsi="Nimbus Roman No9 L" w:eastAsia="仿宋_GB2312" w:cs="Nimbus Roman No9 L"/>
                <w:b/>
                <w:bCs/>
                <w:color w:val="auto"/>
                <w:kern w:val="0"/>
                <w:sz w:val="24"/>
                <w:szCs w:val="24"/>
              </w:rPr>
              <w:t>6.</w:t>
            </w:r>
            <w:r>
              <w:rPr>
                <w:rFonts w:hint="default" w:ascii="Nimbus Roman No9 L" w:hAnsi="Nimbus Roman No9 L" w:eastAsia="仿宋_GB2312" w:cs="Nimbus Roman No9 L"/>
                <w:b/>
                <w:bCs/>
                <w:color w:val="auto"/>
                <w:kern w:val="0"/>
                <w:sz w:val="24"/>
                <w:szCs w:val="24"/>
                <w:lang w:val="zh-TW" w:eastAsia="zh-TW"/>
              </w:rPr>
              <w:t>海洋</w:t>
            </w:r>
            <w:bookmarkEnd w:id="22"/>
            <w:bookmarkEnd w:id="23"/>
            <w:bookmarkEnd w:id="24"/>
            <w:bookmarkEnd w:id="25"/>
            <w:r>
              <w:rPr>
                <w:rFonts w:hint="default" w:ascii="Nimbus Roman No9 L" w:hAnsi="Nimbus Roman No9 L" w:eastAsia="仿宋_GB2312" w:cs="Nimbus Roman No9 L"/>
                <w:b/>
                <w:bCs/>
                <w:color w:val="auto"/>
                <w:kern w:val="0"/>
                <w:sz w:val="24"/>
                <w:szCs w:val="24"/>
                <w:lang w:val="zh-TW"/>
              </w:rPr>
              <w:t>装备</w:t>
            </w:r>
          </w:p>
          <w:p>
            <w:pPr>
              <w:pStyle w:val="25"/>
              <w:keepNext w:val="0"/>
              <w:keepLines w:val="0"/>
              <w:pageBreakBefore w:val="0"/>
              <w:widowControl w:val="0"/>
              <w:kinsoku/>
              <w:wordWrap/>
              <w:overflowPunct/>
              <w:topLinePunct w:val="0"/>
              <w:autoSpaceDE/>
              <w:autoSpaceDN/>
              <w:bidi w:val="0"/>
              <w:adjustRightInd w:val="0"/>
              <w:snapToGrid w:val="0"/>
              <w:spacing w:line="540" w:lineRule="exact"/>
              <w:ind w:firstLine="560"/>
              <w:textAlignment w:val="auto"/>
              <w:rPr>
                <w:rFonts w:hint="default" w:ascii="Nimbus Roman No9 L" w:hAnsi="Nimbus Roman No9 L" w:cs="Nimbus Roman No9 L"/>
                <w:color w:val="auto"/>
                <w:kern w:val="0"/>
              </w:rPr>
            </w:pPr>
            <w:r>
              <w:rPr>
                <w:rFonts w:hint="default" w:ascii="Nimbus Roman No9 L" w:hAnsi="Nimbus Roman No9 L" w:eastAsia="仿宋_GB2312" w:cs="Nimbus Roman No9 L"/>
                <w:color w:val="auto"/>
                <w:kern w:val="2"/>
                <w:sz w:val="24"/>
                <w:szCs w:val="24"/>
                <w:lang w:val="zh-CN" w:eastAsia="zh-TW"/>
              </w:rPr>
              <w:t>由保税区牵头，依托海水淡化与综合利用研究所、临港海水淡化与综合利用示范基地、海水淡化产业（人才）联盟等，探索建设海水淡化试验场、国家海水资源利用技术创新中心等科技创新平台，加快突破海水淡化与综合利用领域卡脖子关键技术，构建集研发设计、整机制造、关键材料部件、药剂生产、工程总包等于一体的海水淡化产业链，形成“一中心、一基地、一区、一联盟”的国家级海水淡化产业集群。依托海洋装备领域龙头企业，以海洋油气开采和储运装备、海工关键配套设备、航道疏浚工程装备、海洋环保与监测探测仪器设备为重点，打造海洋高端装备制造业基地。提升船舶产业发展水平，促进船舶配套业由设备加工制造向系统集成转变，优化提升散货船、油船等传统船舶地制造维修，增加高技术船舶的种类和数量。积极促进海洋生物医药、保健品产业发展，积极探索深海科技。</w:t>
            </w:r>
          </w:p>
        </w:tc>
      </w:tr>
    </w:tbl>
    <w:p>
      <w:pPr>
        <w:pStyle w:val="22"/>
        <w:keepNext w:val="0"/>
        <w:keepLines w:val="0"/>
        <w:pageBreakBefore w:val="0"/>
        <w:widowControl w:val="0"/>
        <w:kinsoku/>
        <w:wordWrap/>
        <w:overflowPunct/>
        <w:topLinePunct w:val="0"/>
        <w:autoSpaceDE/>
        <w:autoSpaceDN/>
        <w:bidi w:val="0"/>
        <w:adjustRightInd/>
        <w:snapToGrid/>
        <w:spacing w:line="580" w:lineRule="exact"/>
        <w:ind w:firstLine="643"/>
        <w:textAlignment w:val="auto"/>
        <w:rPr>
          <w:rFonts w:hint="default" w:ascii="Nimbus Roman No9 L" w:hAnsi="Nimbus Roman No9 L" w:eastAsia="仿宋_GB2312" w:cs="Nimbus Roman No9 L"/>
          <w:b/>
          <w:color w:val="auto"/>
          <w:sz w:val="32"/>
          <w:szCs w:val="32"/>
          <w:lang w:eastAsia="zh-CN"/>
        </w:rPr>
      </w:pPr>
      <w:r>
        <w:rPr>
          <w:rFonts w:hint="default" w:ascii="Nimbus Roman No9 L" w:hAnsi="Nimbus Roman No9 L" w:eastAsia="仿宋_GB2312" w:cs="Nimbus Roman No9 L"/>
          <w:b/>
          <w:color w:val="auto"/>
          <w:sz w:val="32"/>
          <w:szCs w:val="32"/>
          <w:lang w:val="en-US" w:eastAsia="zh-CN"/>
        </w:rPr>
        <w:t>2.</w:t>
      </w:r>
      <w:r>
        <w:rPr>
          <w:rFonts w:hint="default" w:ascii="Nimbus Roman No9 L" w:hAnsi="Nimbus Roman No9 L" w:eastAsia="仿宋_GB2312" w:cs="Nimbus Roman No9 L"/>
          <w:b/>
          <w:color w:val="auto"/>
          <w:sz w:val="32"/>
          <w:szCs w:val="32"/>
        </w:rPr>
        <w:t>创新楼宇经济发展理念</w:t>
      </w:r>
    </w:p>
    <w:p>
      <w:pPr>
        <w:pStyle w:val="22"/>
        <w:keepNext w:val="0"/>
        <w:keepLines w:val="0"/>
        <w:pageBreakBefore w:val="0"/>
        <w:widowControl w:val="0"/>
        <w:kinsoku/>
        <w:wordWrap/>
        <w:overflowPunct/>
        <w:topLinePunct w:val="0"/>
        <w:autoSpaceDE/>
        <w:autoSpaceDN/>
        <w:bidi w:val="0"/>
        <w:adjustRightInd/>
        <w:snapToGrid/>
        <w:spacing w:line="580" w:lineRule="exact"/>
        <w:ind w:firstLine="643"/>
        <w:textAlignment w:val="auto"/>
        <w:rPr>
          <w:rFonts w:hint="default" w:ascii="Nimbus Roman No9 L" w:hAnsi="Nimbus Roman No9 L" w:eastAsia="仿宋_GB2312" w:cs="Nimbus Roman No9 L"/>
          <w:color w:val="auto"/>
          <w:sz w:val="32"/>
          <w:szCs w:val="32"/>
        </w:rPr>
      </w:pPr>
      <w:r>
        <w:rPr>
          <w:rFonts w:hint="default" w:ascii="Nimbus Roman No9 L" w:hAnsi="Nimbus Roman No9 L" w:eastAsia="仿宋_GB2312" w:cs="Nimbus Roman No9 L"/>
          <w:color w:val="auto"/>
          <w:sz w:val="32"/>
          <w:szCs w:val="32"/>
        </w:rPr>
        <w:t>以总部经济发展为支持，围绕楼宇经济空间布局，加大特色楼宇集群培育力度，重点打造科技研发中心、金融创投中心、文化创意中心。引导楼宇经济长效发展，走差异化发展道路，实现错位发展。从城市规划入手，以商圈、特色街区建设等为示范引领，提升城市功能，促进楼宇经济内生发展。不断提升管理和运营水平，通过升级改造、腾笼换鸟、服务提升、品牌打造、树立标杆等途径，培育各具行业特色的专业楼宇，引导中小企业按专业特色、产业链关系集聚。</w:t>
      </w:r>
    </w:p>
    <w:p>
      <w:pPr>
        <w:pStyle w:val="22"/>
        <w:keepNext w:val="0"/>
        <w:keepLines w:val="0"/>
        <w:pageBreakBefore w:val="0"/>
        <w:widowControl w:val="0"/>
        <w:kinsoku/>
        <w:wordWrap/>
        <w:overflowPunct/>
        <w:topLinePunct w:val="0"/>
        <w:autoSpaceDE/>
        <w:autoSpaceDN/>
        <w:bidi w:val="0"/>
        <w:adjustRightInd/>
        <w:snapToGrid/>
        <w:spacing w:line="580" w:lineRule="exact"/>
        <w:ind w:firstLine="643"/>
        <w:textAlignment w:val="auto"/>
        <w:rPr>
          <w:rFonts w:hint="default" w:ascii="Nimbus Roman No9 L" w:hAnsi="Nimbus Roman No9 L" w:eastAsia="仿宋_GB2312" w:cs="Nimbus Roman No9 L"/>
          <w:b/>
          <w:color w:val="auto"/>
          <w:sz w:val="32"/>
          <w:szCs w:val="32"/>
        </w:rPr>
      </w:pPr>
      <w:r>
        <w:rPr>
          <w:rFonts w:hint="default" w:ascii="Nimbus Roman No9 L" w:hAnsi="Nimbus Roman No9 L" w:eastAsia="仿宋_GB2312" w:cs="Nimbus Roman No9 L"/>
          <w:b/>
          <w:color w:val="auto"/>
          <w:sz w:val="32"/>
          <w:szCs w:val="32"/>
          <w:lang w:val="en-US" w:eastAsia="zh-CN"/>
        </w:rPr>
        <w:t>3.</w:t>
      </w:r>
      <w:r>
        <w:rPr>
          <w:rFonts w:hint="default" w:ascii="Nimbus Roman No9 L" w:hAnsi="Nimbus Roman No9 L" w:eastAsia="仿宋_GB2312" w:cs="Nimbus Roman No9 L"/>
          <w:b/>
          <w:color w:val="auto"/>
          <w:sz w:val="32"/>
          <w:szCs w:val="32"/>
        </w:rPr>
        <w:t>加强创业创新载体建设</w:t>
      </w:r>
    </w:p>
    <w:p>
      <w:pPr>
        <w:pStyle w:val="22"/>
        <w:keepNext w:val="0"/>
        <w:keepLines w:val="0"/>
        <w:pageBreakBefore w:val="0"/>
        <w:widowControl w:val="0"/>
        <w:kinsoku/>
        <w:wordWrap/>
        <w:overflowPunct/>
        <w:topLinePunct w:val="0"/>
        <w:autoSpaceDE/>
        <w:autoSpaceDN/>
        <w:bidi w:val="0"/>
        <w:adjustRightInd/>
        <w:snapToGrid/>
        <w:spacing w:line="580" w:lineRule="exact"/>
        <w:ind w:firstLine="643"/>
        <w:textAlignment w:val="auto"/>
        <w:rPr>
          <w:rFonts w:hint="default" w:ascii="Nimbus Roman No9 L" w:hAnsi="Nimbus Roman No9 L" w:eastAsia="仿宋_GB2312" w:cs="Nimbus Roman No9 L"/>
          <w:color w:val="auto"/>
          <w:sz w:val="32"/>
          <w:szCs w:val="32"/>
        </w:rPr>
      </w:pPr>
      <w:r>
        <w:rPr>
          <w:rFonts w:hint="default" w:ascii="Nimbus Roman No9 L" w:hAnsi="Nimbus Roman No9 L" w:eastAsia="仿宋_GB2312" w:cs="Nimbus Roman No9 L"/>
          <w:color w:val="auto"/>
          <w:sz w:val="32"/>
          <w:szCs w:val="32"/>
        </w:rPr>
        <w:t>充分利用已有的各类园区，打造中小企业创业创新基地，为创业主体获得生产经营场所提供便利。发展新型众创空间，形成线上与线下、孵化与投资相结合的开放式综合服务载体，为中小企业创业兴业提供低成本、便利化、全要素服务。</w:t>
      </w:r>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ind w:firstLine="640" w:firstLineChars="200"/>
        <w:textAlignment w:val="auto"/>
        <w:rPr>
          <w:rFonts w:hint="default" w:ascii="Nimbus Roman No9 L" w:hAnsi="Nimbus Roman No9 L" w:eastAsia="仿宋_GB2312" w:cs="Nimbus Roman No9 L"/>
          <w:color w:val="auto"/>
          <w:sz w:val="32"/>
          <w:szCs w:val="32"/>
          <w:lang w:eastAsia="zh-CN"/>
        </w:rPr>
      </w:pPr>
      <w:r>
        <w:rPr>
          <w:rFonts w:hint="default" w:ascii="Nimbus Roman No9 L" w:hAnsi="Nimbus Roman No9 L" w:eastAsia="仿宋_GB2312" w:cs="Nimbus Roman No9 L"/>
          <w:b w:val="0"/>
          <w:bCs/>
          <w:color w:val="auto"/>
          <w:sz w:val="32"/>
          <w:szCs w:val="32"/>
        </w:rPr>
        <w:t>（1）培育和支持小型微型企业创业创新基地建设。</w:t>
      </w:r>
      <w:r>
        <w:rPr>
          <w:rFonts w:hint="default" w:ascii="Nimbus Roman No9 L" w:hAnsi="Nimbus Roman No9 L" w:eastAsia="仿宋_GB2312" w:cs="Nimbus Roman No9 L"/>
          <w:color w:val="auto"/>
          <w:sz w:val="32"/>
          <w:szCs w:val="32"/>
        </w:rPr>
        <w:t>巩固增强中小企业市场创新主体地位，支持各地利用闲置厂房、楼宇，各类园区、产业集群、孵化基地等，开展小型微型企业创业创新基地建设。培育一批国家和市级示范基地，引导基地向平台化、智慧化和生态化方向发展。在先进制造业、现代服务业和战略性新兴产业等产业新体系重点领域培育形成一批高成长性“专精特新”中小企业</w:t>
      </w:r>
      <w:r>
        <w:rPr>
          <w:rFonts w:hint="default" w:ascii="Nimbus Roman No9 L" w:hAnsi="Nimbus Roman No9 L" w:eastAsia="仿宋_GB2312" w:cs="Nimbus Roman No9 L"/>
          <w:color w:val="auto"/>
          <w:sz w:val="32"/>
          <w:szCs w:val="32"/>
          <w:lang w:eastAsia="zh-CN"/>
        </w:rPr>
        <w:t>。</w:t>
      </w:r>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ind w:firstLine="640" w:firstLineChars="200"/>
        <w:textAlignment w:val="auto"/>
        <w:rPr>
          <w:rFonts w:hint="default" w:ascii="Nimbus Roman No9 L" w:hAnsi="Nimbus Roman No9 L" w:eastAsia="仿宋_GB2312" w:cs="Nimbus Roman No9 L"/>
          <w:color w:val="auto"/>
          <w:sz w:val="32"/>
          <w:szCs w:val="32"/>
        </w:rPr>
      </w:pPr>
      <w:r>
        <w:rPr>
          <w:rFonts w:hint="default" w:ascii="Nimbus Roman No9 L" w:hAnsi="Nimbus Roman No9 L" w:eastAsia="仿宋_GB2312" w:cs="Nimbus Roman No9 L"/>
          <w:b w:val="0"/>
          <w:bCs/>
          <w:color w:val="auto"/>
          <w:sz w:val="32"/>
          <w:szCs w:val="32"/>
        </w:rPr>
        <w:t>（2）推动中小企业公共服务平台网络有效运转。</w:t>
      </w:r>
      <w:r>
        <w:rPr>
          <w:rFonts w:hint="default" w:ascii="Nimbus Roman No9 L" w:hAnsi="Nimbus Roman No9 L" w:eastAsia="仿宋_GB2312" w:cs="Nimbus Roman No9 L"/>
          <w:color w:val="auto"/>
          <w:sz w:val="32"/>
          <w:szCs w:val="32"/>
        </w:rPr>
        <w:t>发挥平台网络资源共享、服务协同优势，以中小企业集聚区或行业为重点，为中小企业提供创业培训、知识产权保护、信息咨询、信用服务、市场营销、项目开发、投资融资、财会税务、产权交易、技术支持、人力资源、对外合作、法律咨询等服务推动平台网络组织带动优质专业服务资源开展专业化、特色化服务，提高服务的及时性和有效性，增强平台网络品牌知名度和社会影响力，探索市场化运营模式，促进平台网络可持续发展。</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Nimbus Roman No9 L" w:hAnsi="Nimbus Roman No9 L" w:eastAsia="仿宋_GB2312" w:cs="Nimbus Roman No9 L"/>
          <w:color w:val="auto"/>
          <w:sz w:val="32"/>
          <w:szCs w:val="32"/>
        </w:rPr>
      </w:pPr>
      <w:r>
        <w:rPr>
          <w:rFonts w:hint="default" w:ascii="Nimbus Roman No9 L" w:hAnsi="Nimbus Roman No9 L" w:eastAsia="仿宋_GB2312" w:cs="Nimbus Roman No9 L"/>
          <w:b w:val="0"/>
          <w:bCs/>
          <w:color w:val="auto"/>
          <w:sz w:val="32"/>
          <w:szCs w:val="32"/>
        </w:rPr>
        <w:t>（3）完善“众创空间—孵化器—科技园区”全链条孵化体系。</w:t>
      </w:r>
      <w:r>
        <w:rPr>
          <w:rFonts w:hint="default" w:ascii="Nimbus Roman No9 L" w:hAnsi="Nimbus Roman No9 L" w:eastAsia="仿宋_GB2312" w:cs="Nimbus Roman No9 L"/>
          <w:color w:val="auto"/>
          <w:sz w:val="32"/>
          <w:szCs w:val="32"/>
        </w:rPr>
        <w:t>支持双创载体围绕特色优势产业领域深耕细作、专业化发展。提升双创载体专业化运营管理水平，鼓励孵化器市场化转型，支持双创载体引入有经验的第三方市场化运营团队，探索“创业导师+持股孵化”、“天使投资+创新产品”等新型孵化模式，提升孵化器运营能力。深化双创载体创业服务功能，持续推动双创载体的专业化发展，支持双创载体组建创业导师团队，开展技术指导和商业模式辅导等。支持专业化双创载体配置共享实验室、共享小试、中试车间和生产线，协助创业企业实现产品从创意到小批量生产的突破。推动政务服务向创业广场延伸，打造低成本创业街区。开展多种形式科技双创周、双创大赛、双创论坛、双创公开课等活动，营造创新创业氛围，集聚创客资源。</w:t>
      </w:r>
    </w:p>
    <w:p>
      <w:pPr>
        <w:pStyle w:val="22"/>
        <w:keepNext w:val="0"/>
        <w:keepLines w:val="0"/>
        <w:pageBreakBefore w:val="0"/>
        <w:widowControl w:val="0"/>
        <w:kinsoku/>
        <w:wordWrap/>
        <w:overflowPunct/>
        <w:topLinePunct w:val="0"/>
        <w:autoSpaceDE/>
        <w:autoSpaceDN/>
        <w:bidi w:val="0"/>
        <w:adjustRightInd/>
        <w:snapToGrid/>
        <w:spacing w:line="580" w:lineRule="exact"/>
        <w:ind w:firstLine="643"/>
        <w:textAlignment w:val="auto"/>
        <w:rPr>
          <w:rFonts w:hint="default" w:ascii="Nimbus Roman No9 L" w:hAnsi="Nimbus Roman No9 L" w:eastAsia="仿宋_GB2312" w:cs="Nimbus Roman No9 L"/>
          <w:b/>
          <w:color w:val="auto"/>
          <w:sz w:val="32"/>
          <w:szCs w:val="32"/>
        </w:rPr>
      </w:pPr>
      <w:r>
        <w:rPr>
          <w:rFonts w:hint="default" w:ascii="Nimbus Roman No9 L" w:hAnsi="Nimbus Roman No9 L" w:eastAsia="仿宋_GB2312" w:cs="Nimbus Roman No9 L"/>
          <w:b/>
          <w:color w:val="auto"/>
          <w:sz w:val="32"/>
          <w:szCs w:val="32"/>
        </w:rPr>
        <w:t>4.促进大中小企业融通发展</w:t>
      </w:r>
    </w:p>
    <w:p>
      <w:pPr>
        <w:pStyle w:val="22"/>
        <w:keepNext w:val="0"/>
        <w:keepLines w:val="0"/>
        <w:pageBreakBefore w:val="0"/>
        <w:widowControl w:val="0"/>
        <w:kinsoku/>
        <w:wordWrap/>
        <w:overflowPunct/>
        <w:topLinePunct w:val="0"/>
        <w:autoSpaceDE/>
        <w:autoSpaceDN/>
        <w:bidi w:val="0"/>
        <w:adjustRightInd/>
        <w:snapToGrid/>
        <w:spacing w:line="580" w:lineRule="exact"/>
        <w:ind w:firstLine="643"/>
        <w:textAlignment w:val="auto"/>
        <w:rPr>
          <w:rFonts w:hint="default" w:ascii="Nimbus Roman No9 L" w:hAnsi="Nimbus Roman No9 L" w:eastAsia="仿宋_GB2312" w:cs="Nimbus Roman No9 L"/>
          <w:color w:val="auto"/>
          <w:sz w:val="32"/>
          <w:szCs w:val="32"/>
        </w:rPr>
      </w:pPr>
      <w:r>
        <w:rPr>
          <w:rFonts w:hint="default" w:ascii="Nimbus Roman No9 L" w:hAnsi="Nimbus Roman No9 L" w:eastAsia="仿宋_GB2312" w:cs="Nimbus Roman No9 L"/>
          <w:color w:val="auto"/>
          <w:sz w:val="32"/>
          <w:szCs w:val="32"/>
        </w:rPr>
        <w:t>以构建大企业与中小企业协同创新、共享资源、融合发展的产业生态为目标，着力挖掘和推广融通发展模式。通过夯实融通载体、完善融通环境，发挥大企业引领支撑作用，提高中小企业专业化水平，培育经济增长新动能，支撑制造业创新，助力实体经济发展。构建大中小企业深度协同、融通发展的新型产业组织模式，提高供应链运行效率。发挥龙头骨干对供应链的引领带动作用，推动建立联合培训、标准共享的协同管理体系；打造多方共赢、可持续发展的供应体系，带动上下游中小企业协同发展。推动基于融通模式的区域产业生态。鼓励高校、科研单位向中小企业开放仪器设备和实验室。鼓励建立龙头骨干带动的专业化配套集群。探索建立产学研协同区域创新网络，推动大中小企业针对产业、区域的共性技术需求展开联合攻关，加快共性技术研发和应用。打通区域内外企业信息链和资金链，加速区域内外大中小企业创新能力、生产能力、市场能力的有效对接，推动资源能力的跨行业、跨区域融合互补，提升产业协同效率。强化品牌意识，制定区域品牌发展战略，探索共建共享区域品牌的路径和方式，促进企业品牌与区域品牌互动发展。</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1"/>
        <w:rPr>
          <w:rFonts w:hint="default" w:ascii="Nimbus Roman No9 L" w:hAnsi="Nimbus Roman No9 L" w:eastAsia="楷体_GB2312" w:cs="Nimbus Roman No9 L"/>
          <w:color w:val="auto"/>
          <w:sz w:val="32"/>
          <w:szCs w:val="32"/>
        </w:rPr>
      </w:pPr>
      <w:bookmarkStart w:id="26" w:name="_Toc1233520595_WPSOffice_Level2"/>
      <w:r>
        <w:rPr>
          <w:rFonts w:hint="default" w:ascii="Nimbus Roman No9 L" w:hAnsi="Nimbus Roman No9 L" w:eastAsia="楷体_GB2312" w:cs="Nimbus Roman No9 L"/>
          <w:color w:val="auto"/>
          <w:sz w:val="32"/>
          <w:szCs w:val="32"/>
        </w:rPr>
        <w:t>（六）健全中小企业投融资机制</w:t>
      </w:r>
      <w:bookmarkEnd w:id="26"/>
    </w:p>
    <w:p>
      <w:pPr>
        <w:pStyle w:val="22"/>
        <w:keepNext w:val="0"/>
        <w:keepLines w:val="0"/>
        <w:pageBreakBefore w:val="0"/>
        <w:kinsoku/>
        <w:wordWrap/>
        <w:overflowPunct/>
        <w:topLinePunct w:val="0"/>
        <w:autoSpaceDE/>
        <w:autoSpaceDN/>
        <w:bidi w:val="0"/>
        <w:adjustRightInd/>
        <w:snapToGrid/>
        <w:spacing w:line="580" w:lineRule="exact"/>
        <w:ind w:firstLine="643"/>
        <w:textAlignment w:val="auto"/>
        <w:rPr>
          <w:rFonts w:hint="default" w:ascii="Nimbus Roman No9 L" w:hAnsi="Nimbus Roman No9 L" w:eastAsia="仿宋_GB2312" w:cs="Nimbus Roman No9 L"/>
          <w:b/>
          <w:color w:val="auto"/>
          <w:sz w:val="32"/>
          <w:szCs w:val="32"/>
        </w:rPr>
      </w:pPr>
      <w:r>
        <w:rPr>
          <w:rFonts w:hint="default" w:ascii="Nimbus Roman No9 L" w:hAnsi="Nimbus Roman No9 L" w:eastAsia="仿宋_GB2312" w:cs="Nimbus Roman No9 L"/>
          <w:b/>
          <w:color w:val="auto"/>
          <w:sz w:val="32"/>
          <w:szCs w:val="32"/>
        </w:rPr>
        <w:t>1.完善中小企业融资担保体系</w:t>
      </w:r>
    </w:p>
    <w:p>
      <w:pPr>
        <w:pStyle w:val="22"/>
        <w:keepNext w:val="0"/>
        <w:keepLines w:val="0"/>
        <w:pageBreakBefore w:val="0"/>
        <w:kinsoku/>
        <w:wordWrap/>
        <w:overflowPunct/>
        <w:topLinePunct w:val="0"/>
        <w:autoSpaceDE/>
        <w:autoSpaceDN/>
        <w:bidi w:val="0"/>
        <w:adjustRightInd/>
        <w:snapToGrid/>
        <w:spacing w:line="580" w:lineRule="exact"/>
        <w:ind w:firstLine="643"/>
        <w:textAlignment w:val="auto"/>
        <w:rPr>
          <w:rFonts w:hint="default" w:ascii="Nimbus Roman No9 L" w:hAnsi="Nimbus Roman No9 L" w:eastAsia="仿宋_GB2312" w:cs="Nimbus Roman No9 L"/>
          <w:color w:val="auto"/>
          <w:sz w:val="32"/>
          <w:szCs w:val="32"/>
        </w:rPr>
      </w:pPr>
      <w:r>
        <w:rPr>
          <w:rFonts w:hint="default" w:ascii="Nimbus Roman No9 L" w:hAnsi="Nimbus Roman No9 L" w:eastAsia="仿宋_GB2312" w:cs="Nimbus Roman No9 L"/>
          <w:color w:val="auto"/>
          <w:sz w:val="32"/>
          <w:szCs w:val="32"/>
        </w:rPr>
        <w:t>健全政府性融资担保体系，发挥国家融资担保基金作用，落实小微企业融资担保降费奖补政策，引导政府性融资担保机构扩大小微企业融资担保业务规模、降低担保费率水平。着力发挥中央财政资金引导撬动作用，为金融机构</w:t>
      </w:r>
      <w:r>
        <w:rPr>
          <w:rFonts w:hint="default" w:ascii="Nimbus Roman No9 L" w:hAnsi="Nimbus Roman No9 L" w:eastAsia="仿宋_GB2312" w:cs="Nimbus Roman No9 L"/>
          <w:color w:val="auto"/>
          <w:sz w:val="32"/>
          <w:szCs w:val="32"/>
          <w:lang w:eastAsia="zh-Hans"/>
        </w:rPr>
        <w:t>特别是中小银行</w:t>
      </w:r>
      <w:r>
        <w:rPr>
          <w:rFonts w:hint="default" w:ascii="Nimbus Roman No9 L" w:hAnsi="Nimbus Roman No9 L" w:eastAsia="仿宋_GB2312" w:cs="Nimbus Roman No9 L"/>
          <w:color w:val="auto"/>
          <w:sz w:val="32"/>
          <w:szCs w:val="32"/>
        </w:rPr>
        <w:t>提供贷款补偿或担保代偿，推动其改善与提升金融信贷支持与服务水平。鼓励银行业金融机构加大与政府性融资担保机构合作，合理确定风险分担比例和担保贷款风险权重，提高小微企业融资可获得性。</w:t>
      </w:r>
    </w:p>
    <w:p>
      <w:pPr>
        <w:pStyle w:val="22"/>
        <w:keepNext w:val="0"/>
        <w:keepLines w:val="0"/>
        <w:pageBreakBefore w:val="0"/>
        <w:kinsoku/>
        <w:wordWrap/>
        <w:overflowPunct/>
        <w:topLinePunct w:val="0"/>
        <w:autoSpaceDE/>
        <w:autoSpaceDN/>
        <w:bidi w:val="0"/>
        <w:adjustRightInd/>
        <w:snapToGrid/>
        <w:spacing w:line="580" w:lineRule="exact"/>
        <w:ind w:firstLine="643"/>
        <w:textAlignment w:val="auto"/>
        <w:rPr>
          <w:rFonts w:hint="default" w:ascii="Nimbus Roman No9 L" w:hAnsi="Nimbus Roman No9 L" w:eastAsia="仿宋_GB2312" w:cs="Nimbus Roman No9 L"/>
          <w:b/>
          <w:color w:val="auto"/>
          <w:sz w:val="32"/>
          <w:szCs w:val="32"/>
        </w:rPr>
      </w:pPr>
      <w:r>
        <w:rPr>
          <w:rFonts w:hint="default" w:ascii="Nimbus Roman No9 L" w:hAnsi="Nimbus Roman No9 L" w:eastAsia="仿宋_GB2312" w:cs="Nimbus Roman No9 L"/>
          <w:b/>
          <w:color w:val="auto"/>
          <w:sz w:val="32"/>
          <w:szCs w:val="32"/>
          <w:lang w:val="en-US" w:eastAsia="zh-CN"/>
        </w:rPr>
        <w:t>2.</w:t>
      </w:r>
      <w:r>
        <w:rPr>
          <w:rFonts w:hint="default" w:ascii="Nimbus Roman No9 L" w:hAnsi="Nimbus Roman No9 L" w:eastAsia="仿宋_GB2312" w:cs="Nimbus Roman No9 L"/>
          <w:b/>
          <w:color w:val="auto"/>
          <w:sz w:val="32"/>
          <w:szCs w:val="32"/>
        </w:rPr>
        <w:t>搭建银企融资综合服务平台</w:t>
      </w:r>
    </w:p>
    <w:p>
      <w:pPr>
        <w:pStyle w:val="22"/>
        <w:keepNext w:val="0"/>
        <w:keepLines w:val="0"/>
        <w:pageBreakBefore w:val="0"/>
        <w:kinsoku/>
        <w:wordWrap/>
        <w:overflowPunct/>
        <w:topLinePunct w:val="0"/>
        <w:autoSpaceDE/>
        <w:autoSpaceDN/>
        <w:bidi w:val="0"/>
        <w:adjustRightInd/>
        <w:snapToGrid/>
        <w:spacing w:line="580" w:lineRule="exact"/>
        <w:ind w:firstLine="643"/>
        <w:textAlignment w:val="auto"/>
        <w:rPr>
          <w:rFonts w:hint="default" w:ascii="Nimbus Roman No9 L" w:hAnsi="Nimbus Roman No9 L" w:eastAsia="仿宋_GB2312" w:cs="Nimbus Roman No9 L"/>
          <w:color w:val="auto"/>
          <w:sz w:val="32"/>
          <w:szCs w:val="32"/>
        </w:rPr>
      </w:pPr>
      <w:r>
        <w:rPr>
          <w:rFonts w:hint="default" w:ascii="Nimbus Roman No9 L" w:hAnsi="Nimbus Roman No9 L" w:eastAsia="仿宋_GB2312" w:cs="Nimbus Roman No9 L"/>
          <w:color w:val="auto"/>
          <w:sz w:val="32"/>
          <w:szCs w:val="32"/>
        </w:rPr>
        <w:t>建立</w:t>
      </w:r>
      <w:r>
        <w:rPr>
          <w:rFonts w:hint="default" w:ascii="Nimbus Roman No9 L" w:hAnsi="Nimbus Roman No9 L" w:eastAsia="仿宋_GB2312" w:cs="Nimbus Roman No9 L"/>
          <w:color w:val="auto"/>
          <w:sz w:val="32"/>
          <w:szCs w:val="32"/>
          <w:lang w:eastAsia="zh-Hans"/>
        </w:rPr>
        <w:t>金融机构信用体系，继续拓宽企业和个人征信系统信用范围，完善中小企业信用征信数据库，实施信用风险分级管理和联合奖惩。</w:t>
      </w:r>
      <w:r>
        <w:rPr>
          <w:rFonts w:hint="default" w:ascii="Nimbus Roman No9 L" w:hAnsi="Nimbus Roman No9 L" w:eastAsia="仿宋_GB2312" w:cs="Nimbus Roman No9 L"/>
          <w:color w:val="auto"/>
          <w:sz w:val="32"/>
          <w:szCs w:val="32"/>
        </w:rPr>
        <w:t>优化完善大数据普惠金融应用，建立完善支持中小企业融资综合信用服务平台、银税互动等平台。加快“金融超市”应用建设进度，实现各类普惠金融业务一键查询、精准匹配，深度融合政府、企业、银行资源，打造金融微生态，提高中小企业融资服务效率和覆盖面。鼓励金融机构创新产品和服务，发展便利续贷业务和信用贷款，增加小微企业首贷、中长期贷款、知识产权质押贷款等，开展供应链金融、应收账款融资，加强银税互动。推动金融科技赋能金融机构服务中小企业。降低小微企业综合性融资成本。  </w:t>
      </w:r>
    </w:p>
    <w:p>
      <w:pPr>
        <w:pStyle w:val="22"/>
        <w:keepNext w:val="0"/>
        <w:keepLines w:val="0"/>
        <w:pageBreakBefore w:val="0"/>
        <w:kinsoku/>
        <w:wordWrap/>
        <w:overflowPunct/>
        <w:topLinePunct w:val="0"/>
        <w:autoSpaceDE/>
        <w:autoSpaceDN/>
        <w:bidi w:val="0"/>
        <w:adjustRightInd/>
        <w:snapToGrid/>
        <w:spacing w:line="580" w:lineRule="exact"/>
        <w:ind w:firstLine="643"/>
        <w:textAlignment w:val="auto"/>
        <w:rPr>
          <w:rFonts w:hint="default" w:ascii="Nimbus Roman No9 L" w:hAnsi="Nimbus Roman No9 L" w:eastAsia="仿宋_GB2312" w:cs="Nimbus Roman No9 L"/>
          <w:b/>
          <w:color w:val="auto"/>
          <w:sz w:val="32"/>
          <w:szCs w:val="32"/>
        </w:rPr>
      </w:pPr>
      <w:r>
        <w:rPr>
          <w:rFonts w:hint="default" w:ascii="Nimbus Roman No9 L" w:hAnsi="Nimbus Roman No9 L" w:eastAsia="仿宋_GB2312" w:cs="Nimbus Roman No9 L"/>
          <w:b/>
          <w:color w:val="auto"/>
          <w:sz w:val="32"/>
          <w:szCs w:val="32"/>
          <w:lang w:val="en-US" w:eastAsia="zh-CN"/>
        </w:rPr>
        <w:t>3.</w:t>
      </w:r>
      <w:r>
        <w:rPr>
          <w:rFonts w:hint="default" w:ascii="Nimbus Roman No9 L" w:hAnsi="Nimbus Roman No9 L" w:eastAsia="仿宋_GB2312" w:cs="Nimbus Roman No9 L"/>
          <w:b/>
          <w:color w:val="auto"/>
          <w:sz w:val="32"/>
          <w:szCs w:val="32"/>
        </w:rPr>
        <w:t>鼓励中小企业直接融资</w:t>
      </w:r>
    </w:p>
    <w:p>
      <w:pPr>
        <w:keepNext w:val="0"/>
        <w:keepLines w:val="0"/>
        <w:pageBreakBefore w:val="0"/>
        <w:widowControl/>
        <w:numPr>
          <w:ilvl w:val="0"/>
          <w:numId w:val="0"/>
        </w:numPr>
        <w:kinsoku/>
        <w:wordWrap/>
        <w:overflowPunct/>
        <w:topLinePunct w:val="0"/>
        <w:autoSpaceDE/>
        <w:autoSpaceDN/>
        <w:bidi w:val="0"/>
        <w:adjustRightInd/>
        <w:snapToGrid/>
        <w:spacing w:line="580" w:lineRule="exact"/>
        <w:ind w:firstLine="640" w:firstLineChars="200"/>
        <w:jc w:val="left"/>
        <w:textAlignment w:val="auto"/>
        <w:rPr>
          <w:rFonts w:hint="default" w:ascii="Nimbus Roman No9 L" w:hAnsi="Nimbus Roman No9 L" w:eastAsia="仿宋_GB2312" w:cs="Nimbus Roman No9 L"/>
          <w:color w:val="auto"/>
          <w:sz w:val="32"/>
          <w:szCs w:val="32"/>
        </w:rPr>
      </w:pPr>
      <w:r>
        <w:rPr>
          <w:rFonts w:hint="default" w:ascii="Nimbus Roman No9 L" w:hAnsi="Nimbus Roman No9 L" w:eastAsia="仿宋_GB2312" w:cs="Nimbus Roman No9 L"/>
          <w:color w:val="auto"/>
          <w:kern w:val="2"/>
          <w:sz w:val="32"/>
          <w:szCs w:val="32"/>
          <w:lang w:val="en-US" w:eastAsia="zh-CN" w:bidi="ar-SA"/>
        </w:rPr>
        <w:t>引导天使投资人群体、私募股权、创业投资等扩大中小企业股权融资，更多地投长、投早、投小、投创新。加大对小升规、规改股、股上市企业的支持，完善中小企业上市培育机制，落实企业上市挂牌专项资金奖补政策。</w:t>
      </w:r>
      <w:r>
        <w:rPr>
          <w:rFonts w:hint="default" w:ascii="Nimbus Roman No9 L" w:hAnsi="Nimbus Roman No9 L" w:eastAsia="仿宋_GB2312" w:cs="Nimbus Roman No9 L"/>
          <w:color w:val="auto"/>
          <w:kern w:val="2"/>
          <w:sz w:val="32"/>
          <w:szCs w:val="32"/>
          <w:lang w:val="en-US" w:eastAsia="zh-Hans" w:bidi="ar-SA"/>
        </w:rPr>
        <w:t>积极</w:t>
      </w:r>
      <w:r>
        <w:rPr>
          <w:rFonts w:hint="default" w:ascii="Nimbus Roman No9 L" w:hAnsi="Nimbus Roman No9 L" w:eastAsia="仿宋_GB2312" w:cs="Nimbus Roman No9 L"/>
          <w:color w:val="auto"/>
          <w:kern w:val="2"/>
          <w:sz w:val="32"/>
          <w:szCs w:val="32"/>
          <w:lang w:val="en-US" w:eastAsia="zh-CN" w:bidi="ar-SA"/>
        </w:rPr>
        <w:t>扩大区域性股权交易市</w:t>
      </w:r>
      <w:r>
        <w:rPr>
          <w:rFonts w:hint="default" w:ascii="Nimbus Roman No9 L" w:hAnsi="Nimbus Roman No9 L" w:eastAsia="仿宋_GB2312" w:cs="Nimbus Roman No9 L"/>
          <w:color w:val="auto"/>
          <w:kern w:val="2"/>
          <w:sz w:val="32"/>
          <w:szCs w:val="32"/>
          <w:lang w:val="en-US" w:eastAsia="zh-Hans" w:bidi="ar-SA"/>
        </w:rPr>
        <w:t>场规模，</w:t>
      </w:r>
      <w:r>
        <w:rPr>
          <w:rFonts w:hint="default" w:ascii="Nimbus Roman No9 L" w:hAnsi="Nimbus Roman No9 L" w:eastAsia="仿宋_GB2312" w:cs="Nimbus Roman No9 L"/>
          <w:color w:val="auto"/>
          <w:kern w:val="2"/>
          <w:sz w:val="32"/>
          <w:szCs w:val="32"/>
          <w:lang w:val="en-US" w:eastAsia="zh-CN" w:bidi="ar-SA"/>
        </w:rPr>
        <w:t>把区域性股权市场打造成为专业、高效、安全的中小企业直接投融资市场。提高股权交易市场的交易流动性，帮助非上市挂牌中小企业快速获得股权融资。加大优质中小企业债券融资，通过市场化机制开发更多适合中小企业的债券品种，完善中小企业债券融资增信机制，扩大债券融资规模。 </w:t>
      </w:r>
      <w:r>
        <w:rPr>
          <w:rFonts w:hint="default" w:ascii="Nimbus Roman No9 L" w:hAnsi="Nimbus Roman No9 L" w:eastAsia="仿宋_GB2312" w:cs="Nimbus Roman No9 L"/>
          <w:color w:val="auto"/>
          <w:sz w:val="32"/>
          <w:szCs w:val="32"/>
        </w:rPr>
        <w:t>      </w:t>
      </w:r>
      <w:bookmarkStart w:id="27" w:name="_Toc64906435"/>
    </w:p>
    <w:bookmarkEnd w:id="27"/>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1"/>
        <w:rPr>
          <w:rFonts w:hint="default" w:ascii="Nimbus Roman No9 L" w:hAnsi="Nimbus Roman No9 L" w:eastAsia="楷体_GB2312" w:cs="Nimbus Roman No9 L"/>
          <w:color w:val="auto"/>
          <w:sz w:val="32"/>
          <w:szCs w:val="32"/>
        </w:rPr>
      </w:pPr>
      <w:bookmarkStart w:id="28" w:name="_Toc1450532574_WPSOffice_Level2"/>
      <w:bookmarkStart w:id="29" w:name="bookmark4"/>
      <w:r>
        <w:rPr>
          <w:rFonts w:hint="default" w:ascii="Nimbus Roman No9 L" w:hAnsi="Nimbus Roman No9 L" w:eastAsia="楷体_GB2312" w:cs="Nimbus Roman No9 L"/>
          <w:color w:val="auto"/>
          <w:sz w:val="32"/>
          <w:szCs w:val="32"/>
        </w:rPr>
        <w:t>（七）提升中小企业人才服务水平</w:t>
      </w:r>
      <w:bookmarkEnd w:id="28"/>
    </w:p>
    <w:p>
      <w:pPr>
        <w:pStyle w:val="2"/>
        <w:keepNext w:val="0"/>
        <w:keepLines w:val="0"/>
        <w:pageBreakBefore w:val="0"/>
        <w:widowControl w:val="0"/>
        <w:kinsoku/>
        <w:wordWrap/>
        <w:overflowPunct/>
        <w:topLinePunct w:val="0"/>
        <w:autoSpaceDE/>
        <w:autoSpaceDN/>
        <w:bidi w:val="0"/>
        <w:adjustRightInd/>
        <w:snapToGrid/>
        <w:spacing w:before="0" w:line="580" w:lineRule="exact"/>
        <w:ind w:firstLine="642" w:firstLineChars="200"/>
        <w:jc w:val="both"/>
        <w:textAlignment w:val="auto"/>
        <w:rPr>
          <w:rFonts w:hint="default" w:ascii="Nimbus Roman No9 L" w:hAnsi="Nimbus Roman No9 L" w:cs="Nimbus Roman No9 L"/>
          <w:b/>
          <w:color w:val="auto"/>
          <w:sz w:val="32"/>
          <w:szCs w:val="32"/>
        </w:rPr>
      </w:pPr>
      <w:r>
        <w:rPr>
          <w:rFonts w:hint="default" w:ascii="Nimbus Roman No9 L" w:hAnsi="Nimbus Roman No9 L" w:cs="Nimbus Roman No9 L"/>
          <w:b/>
          <w:color w:val="auto"/>
          <w:sz w:val="32"/>
          <w:szCs w:val="32"/>
        </w:rPr>
        <w:t>1.加强人才培养和引进</w:t>
      </w:r>
    </w:p>
    <w:p>
      <w:pPr>
        <w:pStyle w:val="2"/>
        <w:keepNext w:val="0"/>
        <w:keepLines w:val="0"/>
        <w:pageBreakBefore w:val="0"/>
        <w:widowControl w:val="0"/>
        <w:kinsoku/>
        <w:wordWrap/>
        <w:overflowPunct/>
        <w:topLinePunct w:val="0"/>
        <w:autoSpaceDE/>
        <w:autoSpaceDN/>
        <w:bidi w:val="0"/>
        <w:adjustRightInd/>
        <w:snapToGrid/>
        <w:spacing w:before="0" w:line="580" w:lineRule="exact"/>
        <w:ind w:firstLine="640" w:firstLineChars="200"/>
        <w:jc w:val="both"/>
        <w:textAlignment w:val="auto"/>
        <w:rPr>
          <w:rFonts w:hint="default" w:ascii="Nimbus Roman No9 L" w:hAnsi="Nimbus Roman No9 L" w:cs="Nimbus Roman No9 L"/>
          <w:color w:val="auto"/>
          <w:sz w:val="32"/>
          <w:szCs w:val="32"/>
        </w:rPr>
      </w:pPr>
      <w:r>
        <w:rPr>
          <w:rFonts w:hint="default" w:ascii="Nimbus Roman No9 L" w:hAnsi="Nimbus Roman No9 L" w:cs="Nimbus Roman No9 L"/>
          <w:color w:val="auto"/>
          <w:sz w:val="32"/>
          <w:szCs w:val="32"/>
        </w:rPr>
        <w:t>推动一批重点产业（人才）联盟建设，营造“政府搭台、人才主角、产业发展”的人才与产业融合发展的良好生态环境。高效对接政府、企业、人才，高标准运营产业（人才）联盟，发挥联盟在政产学研用等各个环节的沟通纽带作用。充分利用市“海河英才”行动计划，落实以企业需求为主导的定制化政策，放宽青年和紧缺人才落户通道。加强高层次人才引育，发挥天津（滨海）海外人才离岸创新创业基地等项目作用，发挥“世界智能大会”“津洽会”“华博会”“全国技能大赛”等平台作用，加强人才的对接及引进。突出“项目+团队”引进方式，鼓励领军人物打包人才团队、技术专利等资源“带土移植”，集聚一批高端科技项目和领军人才团队。加强高技能人才培养，全面推动“海河工匠”建设，鼓励企业、行业协会等开展职业技能培训。结合全国中小企业网上百日招聘高校毕业生活动，积极开展“订单式”培养，推动高校人才培养更好地服务中小企业发展。</w:t>
      </w:r>
    </w:p>
    <w:p>
      <w:pPr>
        <w:pStyle w:val="2"/>
        <w:keepNext w:val="0"/>
        <w:keepLines w:val="0"/>
        <w:pageBreakBefore w:val="0"/>
        <w:widowControl w:val="0"/>
        <w:kinsoku/>
        <w:wordWrap/>
        <w:overflowPunct/>
        <w:topLinePunct w:val="0"/>
        <w:autoSpaceDE/>
        <w:autoSpaceDN/>
        <w:bidi w:val="0"/>
        <w:adjustRightInd/>
        <w:snapToGrid/>
        <w:spacing w:before="0" w:line="580" w:lineRule="exact"/>
        <w:ind w:firstLine="642" w:firstLineChars="200"/>
        <w:jc w:val="both"/>
        <w:textAlignment w:val="auto"/>
        <w:rPr>
          <w:rFonts w:hint="default" w:ascii="Nimbus Roman No9 L" w:hAnsi="Nimbus Roman No9 L" w:cs="Nimbus Roman No9 L"/>
          <w:b/>
          <w:color w:val="auto"/>
          <w:sz w:val="32"/>
          <w:szCs w:val="32"/>
        </w:rPr>
      </w:pPr>
      <w:r>
        <w:rPr>
          <w:rFonts w:hint="default" w:ascii="Nimbus Roman No9 L" w:hAnsi="Nimbus Roman No9 L" w:cs="Nimbus Roman No9 L"/>
          <w:b/>
          <w:color w:val="auto"/>
          <w:sz w:val="32"/>
          <w:szCs w:val="32"/>
          <w:lang w:val="en-US" w:eastAsia="zh-CN"/>
        </w:rPr>
        <w:t>2.</w:t>
      </w:r>
      <w:r>
        <w:rPr>
          <w:rFonts w:hint="default" w:ascii="Nimbus Roman No9 L" w:hAnsi="Nimbus Roman No9 L" w:cs="Nimbus Roman No9 L"/>
          <w:b/>
          <w:color w:val="auto"/>
          <w:sz w:val="32"/>
          <w:szCs w:val="32"/>
        </w:rPr>
        <w:t>重视培育企业家队伍</w:t>
      </w:r>
    </w:p>
    <w:p>
      <w:pPr>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line="580" w:lineRule="exact"/>
        <w:ind w:firstLine="640" w:firstLineChars="200"/>
        <w:textAlignment w:val="auto"/>
        <w:rPr>
          <w:rFonts w:hint="default" w:ascii="Nimbus Roman No9 L" w:hAnsi="Nimbus Roman No9 L" w:eastAsia="仿宋_GB2312" w:cs="Nimbus Roman No9 L"/>
          <w:color w:val="auto"/>
          <w:kern w:val="2"/>
          <w:sz w:val="32"/>
          <w:szCs w:val="32"/>
          <w:lang w:val="en-US" w:eastAsia="zh-CN" w:bidi="ar-SA"/>
        </w:rPr>
      </w:pPr>
      <w:r>
        <w:rPr>
          <w:rFonts w:hint="default" w:ascii="Nimbus Roman No9 L" w:hAnsi="Nimbus Roman No9 L" w:eastAsia="仿宋_GB2312" w:cs="Nimbus Roman No9 L"/>
          <w:color w:val="auto"/>
          <w:kern w:val="2"/>
          <w:sz w:val="32"/>
          <w:szCs w:val="32"/>
          <w:lang w:val="en-US" w:eastAsia="zh-CN" w:bidi="ar-SA"/>
        </w:rPr>
        <w:t>围绕企业生产经营、资本运作、创业创新、转型升级等主题，构建多领域、多层次、线上线下相结合的中小企业培训体系，做好中小企业经营管理领军人才培训，提升中小企业经营管理水平。强化企业管理规范经营，引导中小企业自觉规范经营行为，坚持依法办企、公平竞争、诚信经营。鼓励企业科学决策，在发展壮大过程中聚焦实业、做精主业，弘扬工匠精神，不断提高行业竞争力。构建亲清政商关系，推动企业家参与制定涉企政策，充分听取企业家意见建议。树立优秀企业家典型，大力弘扬企业家精神。</w:t>
      </w:r>
      <w:bookmarkEnd w:id="29"/>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1"/>
        <w:rPr>
          <w:rFonts w:hint="default" w:ascii="Nimbus Roman No9 L" w:hAnsi="Nimbus Roman No9 L" w:eastAsia="楷体_GB2312" w:cs="Nimbus Roman No9 L"/>
          <w:color w:val="auto"/>
          <w:sz w:val="32"/>
          <w:szCs w:val="32"/>
        </w:rPr>
      </w:pPr>
      <w:bookmarkStart w:id="30" w:name="_Toc956357877_WPSOffice_Level2"/>
      <w:r>
        <w:rPr>
          <w:rFonts w:hint="default" w:ascii="Nimbus Roman No9 L" w:hAnsi="Nimbus Roman No9 L" w:eastAsia="楷体_GB2312" w:cs="Nimbus Roman No9 L"/>
          <w:color w:val="auto"/>
          <w:sz w:val="32"/>
          <w:szCs w:val="32"/>
        </w:rPr>
        <w:t>（</w:t>
      </w:r>
      <w:r>
        <w:rPr>
          <w:rFonts w:hint="default" w:ascii="Nimbus Roman No9 L" w:hAnsi="Nimbus Roman No9 L" w:eastAsia="楷体_GB2312" w:cs="Nimbus Roman No9 L"/>
          <w:color w:val="auto"/>
          <w:sz w:val="32"/>
          <w:szCs w:val="32"/>
          <w:lang w:eastAsia="zh-CN"/>
        </w:rPr>
        <w:t>八</w:t>
      </w:r>
      <w:r>
        <w:rPr>
          <w:rFonts w:hint="default" w:ascii="Nimbus Roman No9 L" w:hAnsi="Nimbus Roman No9 L" w:eastAsia="楷体_GB2312" w:cs="Nimbus Roman No9 L"/>
          <w:color w:val="auto"/>
          <w:sz w:val="32"/>
          <w:szCs w:val="32"/>
        </w:rPr>
        <w:t>）完善中小企业发展营商环境</w:t>
      </w:r>
      <w:bookmarkEnd w:id="30"/>
    </w:p>
    <w:p>
      <w:pPr>
        <w:keepNext w:val="0"/>
        <w:keepLines w:val="0"/>
        <w:pageBreakBefore w:val="0"/>
        <w:widowControl w:val="0"/>
        <w:kinsoku/>
        <w:wordWrap/>
        <w:overflowPunct/>
        <w:topLinePunct w:val="0"/>
        <w:autoSpaceDE/>
        <w:autoSpaceDN/>
        <w:bidi w:val="0"/>
        <w:adjustRightInd/>
        <w:snapToGrid/>
        <w:spacing w:line="580" w:lineRule="exact"/>
        <w:ind w:firstLine="642" w:firstLineChars="200"/>
        <w:textAlignment w:val="auto"/>
        <w:rPr>
          <w:rFonts w:hint="default" w:ascii="Nimbus Roman No9 L" w:hAnsi="Nimbus Roman No9 L" w:eastAsia="仿宋_GB2312" w:cs="Nimbus Roman No9 L"/>
          <w:b/>
          <w:color w:val="auto"/>
          <w:sz w:val="32"/>
          <w:szCs w:val="32"/>
          <w:lang w:eastAsia="zh-CN"/>
        </w:rPr>
      </w:pPr>
      <w:r>
        <w:rPr>
          <w:rFonts w:hint="default" w:ascii="Nimbus Roman No9 L" w:hAnsi="Nimbus Roman No9 L" w:eastAsia="仿宋_GB2312" w:cs="Nimbus Roman No9 L"/>
          <w:b/>
          <w:color w:val="auto"/>
          <w:sz w:val="32"/>
          <w:szCs w:val="32"/>
        </w:rPr>
        <w:t>1.优化公平竞争的市场环境</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Nimbus Roman No9 L" w:hAnsi="Nimbus Roman No9 L" w:eastAsia="仿宋_GB2312" w:cs="Nimbus Roman No9 L"/>
          <w:color w:val="auto"/>
          <w:sz w:val="32"/>
          <w:szCs w:val="32"/>
        </w:rPr>
      </w:pPr>
      <w:r>
        <w:rPr>
          <w:rFonts w:hint="default" w:ascii="Nimbus Roman No9 L" w:hAnsi="Nimbus Roman No9 L" w:eastAsia="仿宋_GB2312" w:cs="Nimbus Roman No9 L"/>
          <w:color w:val="auto"/>
          <w:sz w:val="32"/>
          <w:szCs w:val="32"/>
        </w:rPr>
        <w:t>全面实施市场准入负面清单制度，公正公平对待中小企业，破除不合理门槛和限制，实现大中小企业和各种所有制经济权利平等、机会平等、规则平等。全面落实公平竞争审查制度，完善审查流程和标准，建立健全公平竞争审查投诉、公示、抽查制度。加强和改进反垄断和反不正当竞争执法，维护市场竞争秩序。鼓励中小企业依法进入市政公用事业、国防科技、节能环保等相关领域，推动石油化工、电力、天然气等产业的竞争性业务领域向社会资本释放更大发展空间。</w:t>
      </w:r>
    </w:p>
    <w:p>
      <w:pPr>
        <w:keepNext w:val="0"/>
        <w:keepLines w:val="0"/>
        <w:pageBreakBefore w:val="0"/>
        <w:widowControl w:val="0"/>
        <w:kinsoku/>
        <w:wordWrap/>
        <w:overflowPunct/>
        <w:topLinePunct w:val="0"/>
        <w:autoSpaceDE/>
        <w:autoSpaceDN/>
        <w:bidi w:val="0"/>
        <w:adjustRightInd/>
        <w:snapToGrid/>
        <w:spacing w:line="580" w:lineRule="exact"/>
        <w:ind w:firstLine="642" w:firstLineChars="200"/>
        <w:textAlignment w:val="auto"/>
        <w:rPr>
          <w:rFonts w:hint="default" w:ascii="Nimbus Roman No9 L" w:hAnsi="Nimbus Roman No9 L" w:eastAsia="仿宋_GB2312" w:cs="Nimbus Roman No9 L"/>
          <w:b/>
          <w:color w:val="auto"/>
          <w:sz w:val="32"/>
          <w:szCs w:val="32"/>
          <w:lang w:eastAsia="zh-CN"/>
        </w:rPr>
      </w:pPr>
      <w:r>
        <w:rPr>
          <w:rFonts w:hint="default" w:ascii="Nimbus Roman No9 L" w:hAnsi="Nimbus Roman No9 L" w:eastAsia="仿宋_GB2312" w:cs="Nimbus Roman No9 L"/>
          <w:b/>
          <w:color w:val="auto"/>
          <w:sz w:val="32"/>
          <w:szCs w:val="32"/>
          <w:lang w:val="en-US" w:eastAsia="zh-CN"/>
        </w:rPr>
        <w:t>2.</w:t>
      </w:r>
      <w:r>
        <w:rPr>
          <w:rFonts w:hint="default" w:ascii="Nimbus Roman No9 L" w:hAnsi="Nimbus Roman No9 L" w:eastAsia="仿宋_GB2312" w:cs="Nimbus Roman No9 L"/>
          <w:b/>
          <w:color w:val="auto"/>
          <w:sz w:val="32"/>
          <w:szCs w:val="32"/>
        </w:rPr>
        <w:t>完善便捷高效的</w:t>
      </w:r>
      <w:r>
        <w:rPr>
          <w:rFonts w:hint="default" w:ascii="Nimbus Roman No9 L" w:hAnsi="Nimbus Roman No9 L" w:eastAsia="仿宋_GB2312" w:cs="Nimbus Roman No9 L"/>
          <w:b/>
          <w:color w:val="auto"/>
          <w:sz w:val="32"/>
          <w:szCs w:val="32"/>
          <w:lang w:eastAsia="zh-CN"/>
        </w:rPr>
        <w:t>政务</w:t>
      </w:r>
      <w:r>
        <w:rPr>
          <w:rFonts w:hint="default" w:ascii="Nimbus Roman No9 L" w:hAnsi="Nimbus Roman No9 L" w:eastAsia="仿宋_GB2312" w:cs="Nimbus Roman No9 L"/>
          <w:b/>
          <w:color w:val="auto"/>
          <w:sz w:val="32"/>
          <w:szCs w:val="32"/>
        </w:rPr>
        <w:t>环境</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Nimbus Roman No9 L" w:hAnsi="Nimbus Roman No9 L" w:eastAsia="仿宋_GB2312" w:cs="Nimbus Roman No9 L"/>
          <w:color w:val="auto"/>
          <w:sz w:val="32"/>
          <w:szCs w:val="32"/>
        </w:rPr>
      </w:pPr>
      <w:r>
        <w:rPr>
          <w:rFonts w:hint="default" w:ascii="Nimbus Roman No9 L" w:hAnsi="Nimbus Roman No9 L" w:eastAsia="仿宋_GB2312" w:cs="Nimbus Roman No9 L"/>
          <w:color w:val="auto"/>
          <w:sz w:val="32"/>
          <w:szCs w:val="32"/>
        </w:rPr>
        <w:t>深入贯彻落实国家《优化营商环境条例》和《天津市优化营商环境条例》，进一步增强服务意识，切实转变工作作风，为市场主体提供规范、便捷、高效的政务服务。深化“放管服”改革，</w:t>
      </w:r>
      <w:r>
        <w:rPr>
          <w:rFonts w:hint="default" w:ascii="Nimbus Roman No9 L" w:hAnsi="Nimbus Roman No9 L" w:eastAsia="仿宋_GB2312" w:cs="Nimbus Roman No9 L"/>
          <w:color w:val="auto"/>
          <w:sz w:val="32"/>
          <w:szCs w:val="32"/>
          <w:lang w:eastAsia="zh-CN"/>
        </w:rPr>
        <w:t>提高审批改革水平</w:t>
      </w:r>
      <w:r>
        <w:rPr>
          <w:rFonts w:hint="default" w:ascii="Nimbus Roman No9 L" w:hAnsi="Nimbus Roman No9 L" w:eastAsia="仿宋_GB2312" w:cs="Nimbus Roman No9 L"/>
          <w:color w:val="auto"/>
          <w:sz w:val="32"/>
          <w:szCs w:val="32"/>
        </w:rPr>
        <w:t>，深化审管联动机制创新，深化“证照分离”改革，加快实施“互联网+政务服务”，</w:t>
      </w:r>
      <w:r>
        <w:rPr>
          <w:rFonts w:hint="default" w:ascii="Nimbus Roman No9 L" w:hAnsi="Nimbus Roman No9 L" w:eastAsia="仿宋_GB2312" w:cs="Nimbus Roman No9 L"/>
          <w:color w:val="auto"/>
          <w:sz w:val="32"/>
          <w:szCs w:val="32"/>
          <w:lang w:eastAsia="zh-CN"/>
        </w:rPr>
        <w:t>按照“应进尽进”“应办进办”的要求，推动政务服务事项</w:t>
      </w:r>
      <w:r>
        <w:rPr>
          <w:rFonts w:hint="default" w:ascii="Nimbus Roman No9 L" w:hAnsi="Nimbus Roman No9 L" w:eastAsia="仿宋_GB2312" w:cs="Nimbus Roman No9 L"/>
          <w:color w:val="auto"/>
          <w:sz w:val="32"/>
          <w:szCs w:val="32"/>
        </w:rPr>
        <w:t>“只进一扇门”和“网上可办”</w:t>
      </w:r>
      <w:r>
        <w:rPr>
          <w:rFonts w:hint="default" w:ascii="Nimbus Roman No9 L" w:hAnsi="Nimbus Roman No9 L" w:eastAsia="仿宋_GB2312" w:cs="Nimbus Roman No9 L"/>
          <w:color w:val="auto"/>
          <w:sz w:val="32"/>
          <w:szCs w:val="32"/>
          <w:lang w:eastAsia="zh-CN"/>
        </w:rPr>
        <w:t>。</w:t>
      </w:r>
      <w:r>
        <w:rPr>
          <w:rFonts w:hint="default" w:ascii="Nimbus Roman No9 L" w:hAnsi="Nimbus Roman No9 L" w:eastAsia="仿宋_GB2312" w:cs="Nimbus Roman No9 L"/>
          <w:color w:val="auto"/>
          <w:sz w:val="32"/>
          <w:szCs w:val="32"/>
        </w:rPr>
        <w:t>积极承接市级下放管理权限</w:t>
      </w:r>
      <w:r>
        <w:rPr>
          <w:rFonts w:hint="default" w:ascii="Nimbus Roman No9 L" w:hAnsi="Nimbus Roman No9 L" w:eastAsia="仿宋_GB2312" w:cs="Nimbus Roman No9 L"/>
          <w:color w:val="auto"/>
          <w:sz w:val="32"/>
          <w:szCs w:val="32"/>
          <w:lang w:eastAsia="zh-CN"/>
        </w:rPr>
        <w:t>，</w:t>
      </w:r>
      <w:r>
        <w:rPr>
          <w:rFonts w:hint="default" w:ascii="Nimbus Roman No9 L" w:hAnsi="Nimbus Roman No9 L" w:eastAsia="仿宋_GB2312" w:cs="Nimbus Roman No9 L"/>
          <w:color w:val="auto"/>
          <w:sz w:val="32"/>
          <w:szCs w:val="32"/>
        </w:rPr>
        <w:t>主动承接规划建设、生态环境、金融创新等方面市级经济管理权限，积极承接市级委托或直接下放的权力事项，推动各开发区按需承接。积极开展事权下放效果评估工作，促进下放事项发挥更大功效。建立跟踪服务机制，为中小企业提供覆盖全生命周期的服务，促进政府与企业、行业协会、商会等联系沟通常态化。深入推进政务服务标准化，巩固完善“好差评”制度，及时监督政务服务行为</w:t>
      </w:r>
      <w:r>
        <w:rPr>
          <w:rFonts w:hint="default" w:ascii="Nimbus Roman No9 L" w:hAnsi="Nimbus Roman No9 L" w:eastAsia="仿宋_GB2312" w:cs="Nimbus Roman No9 L"/>
          <w:color w:val="auto"/>
          <w:sz w:val="32"/>
          <w:szCs w:val="32"/>
          <w:lang w:eastAsia="zh-CN"/>
        </w:rPr>
        <w:t>，</w:t>
      </w:r>
      <w:r>
        <w:rPr>
          <w:rFonts w:hint="default" w:ascii="Nimbus Roman No9 L" w:hAnsi="Nimbus Roman No9 L" w:eastAsia="仿宋_GB2312" w:cs="Nimbus Roman No9 L"/>
          <w:color w:val="auto"/>
          <w:sz w:val="32"/>
          <w:szCs w:val="32"/>
        </w:rPr>
        <w:t>营造办事方便、法治良好、成本竞争力强、生态宜居的一流营商环境。</w:t>
      </w:r>
    </w:p>
    <w:p>
      <w:pPr>
        <w:keepNext w:val="0"/>
        <w:keepLines w:val="0"/>
        <w:pageBreakBefore w:val="0"/>
        <w:widowControl w:val="0"/>
        <w:kinsoku/>
        <w:wordWrap/>
        <w:overflowPunct/>
        <w:topLinePunct w:val="0"/>
        <w:autoSpaceDE/>
        <w:autoSpaceDN/>
        <w:bidi w:val="0"/>
        <w:adjustRightInd/>
        <w:snapToGrid/>
        <w:spacing w:line="580" w:lineRule="exact"/>
        <w:ind w:firstLine="642" w:firstLineChars="200"/>
        <w:textAlignment w:val="auto"/>
        <w:rPr>
          <w:rFonts w:hint="default" w:ascii="Nimbus Roman No9 L" w:hAnsi="Nimbus Roman No9 L" w:eastAsia="仿宋_GB2312" w:cs="Nimbus Roman No9 L"/>
          <w:b/>
          <w:color w:val="auto"/>
          <w:sz w:val="32"/>
          <w:szCs w:val="32"/>
        </w:rPr>
      </w:pPr>
      <w:r>
        <w:rPr>
          <w:rFonts w:hint="default" w:ascii="Nimbus Roman No9 L" w:hAnsi="Nimbus Roman No9 L" w:eastAsia="仿宋_GB2312" w:cs="Nimbus Roman No9 L"/>
          <w:b/>
          <w:color w:val="auto"/>
          <w:sz w:val="32"/>
          <w:szCs w:val="32"/>
          <w:lang w:val="en-US" w:eastAsia="zh-CN"/>
        </w:rPr>
        <w:t>3.</w:t>
      </w:r>
      <w:r>
        <w:rPr>
          <w:rFonts w:hint="default" w:ascii="Nimbus Roman No9 L" w:hAnsi="Nimbus Roman No9 L" w:eastAsia="仿宋_GB2312" w:cs="Nimbus Roman No9 L"/>
          <w:b/>
          <w:color w:val="auto"/>
          <w:sz w:val="32"/>
          <w:szCs w:val="32"/>
        </w:rPr>
        <w:t>营造司法公正的法治环境</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Nimbus Roman No9 L" w:hAnsi="Nimbus Roman No9 L" w:eastAsia="仿宋_GB2312" w:cs="Nimbus Roman No9 L"/>
          <w:color w:val="auto"/>
          <w:sz w:val="32"/>
          <w:szCs w:val="32"/>
        </w:rPr>
      </w:pPr>
      <w:r>
        <w:rPr>
          <w:rFonts w:hint="default" w:ascii="Nimbus Roman No9 L" w:hAnsi="Nimbus Roman No9 L" w:eastAsia="仿宋_GB2312" w:cs="Nimbus Roman No9 L"/>
          <w:color w:val="auto"/>
          <w:sz w:val="32"/>
          <w:szCs w:val="32"/>
        </w:rPr>
        <w:t>加强法治建设，保障中小企业依法平等使用资源要素，公开公平公正参与市场竞争。坚持执法、司法等各环节依法、平等、全方位保护中小企业产权和中小企业家的人身、财产合法权益。依法平等保护企业、职工合法权益。整合律师、公证、司法鉴定、调解、仲裁等公共法律服务资源，全面提升公共法律服务水平和质量。</w:t>
      </w:r>
    </w:p>
    <w:p>
      <w:pPr>
        <w:keepNext w:val="0"/>
        <w:keepLines w:val="0"/>
        <w:pageBreakBefore w:val="0"/>
        <w:widowControl w:val="0"/>
        <w:kinsoku/>
        <w:wordWrap/>
        <w:overflowPunct/>
        <w:topLinePunct w:val="0"/>
        <w:autoSpaceDE/>
        <w:autoSpaceDN/>
        <w:bidi w:val="0"/>
        <w:adjustRightInd/>
        <w:snapToGrid/>
        <w:spacing w:line="580" w:lineRule="exact"/>
        <w:ind w:firstLine="642" w:firstLineChars="200"/>
        <w:textAlignment w:val="auto"/>
        <w:rPr>
          <w:rFonts w:hint="default" w:ascii="Nimbus Roman No9 L" w:hAnsi="Nimbus Roman No9 L" w:eastAsia="仿宋_GB2312" w:cs="Nimbus Roman No9 L"/>
          <w:b/>
          <w:color w:val="auto"/>
          <w:sz w:val="32"/>
          <w:szCs w:val="32"/>
        </w:rPr>
      </w:pPr>
      <w:bookmarkStart w:id="31" w:name="_Toc13737"/>
      <w:r>
        <w:rPr>
          <w:rFonts w:hint="default" w:ascii="Nimbus Roman No9 L" w:hAnsi="Nimbus Roman No9 L" w:eastAsia="仿宋_GB2312" w:cs="Nimbus Roman No9 L"/>
          <w:b/>
          <w:color w:val="auto"/>
          <w:sz w:val="32"/>
          <w:szCs w:val="32"/>
          <w:lang w:val="en-US" w:eastAsia="zh-CN"/>
        </w:rPr>
        <w:t>4.</w:t>
      </w:r>
      <w:r>
        <w:rPr>
          <w:rFonts w:hint="default" w:ascii="Nimbus Roman No9 L" w:hAnsi="Nimbus Roman No9 L" w:eastAsia="仿宋_GB2312" w:cs="Nimbus Roman No9 L"/>
          <w:b/>
          <w:color w:val="auto"/>
          <w:sz w:val="32"/>
          <w:szCs w:val="32"/>
        </w:rPr>
        <w:t>构建高水平知识产权服务体系</w:t>
      </w:r>
      <w:bookmarkEnd w:id="31"/>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Nimbus Roman No9 L" w:hAnsi="Nimbus Roman No9 L" w:eastAsia="仿宋_GB2312" w:cs="Nimbus Roman No9 L"/>
          <w:color w:val="auto"/>
          <w:sz w:val="32"/>
          <w:szCs w:val="32"/>
        </w:rPr>
      </w:pPr>
      <w:r>
        <w:rPr>
          <w:rFonts w:hint="default" w:ascii="Nimbus Roman No9 L" w:hAnsi="Nimbus Roman No9 L" w:eastAsia="仿宋_GB2312" w:cs="Nimbus Roman No9 L"/>
          <w:color w:val="auto"/>
          <w:sz w:val="32"/>
          <w:szCs w:val="32"/>
        </w:rPr>
        <w:t>运用互联网、大数据等手段，通过源头追溯、实时监测、在线识别等强化知识产权保护，加快建立侵权惩罚性赔偿制度，提高违法成本，保护中小企业创新研发成果。组织实施中小企业知识产权战略推进工程，开展专利导航，助推中小企业技术研发布局，推广知识产权辅导、预警、代理、托管等服务。加强对知识产权服务机构的招商力度，充分发挥中国（天津）知识产权保护中心、中国（滨海新区）知识产权保护中心作用，完善快速预审机制。引进一批高端知识产权服务机构，培育发展专利风险识别与控制、专利预警分析、竞争对手专利地图绘制、企业知识产权战略规划等高端知识产权服务。组建知识产权专家智库，整合保护中心、知识产权服务机构、知识产权密集型企业等多方资源，面对新区知识创造、运用、保护提供智力支撑。</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1"/>
        <w:rPr>
          <w:rFonts w:hint="default" w:ascii="Nimbus Roman No9 L" w:hAnsi="Nimbus Roman No9 L" w:eastAsia="楷体_GB2312" w:cs="Nimbus Roman No9 L"/>
          <w:color w:val="auto"/>
          <w:sz w:val="32"/>
          <w:szCs w:val="32"/>
        </w:rPr>
      </w:pPr>
      <w:bookmarkStart w:id="32" w:name="_Toc1326692305_WPSOffice_Level2"/>
      <w:bookmarkStart w:id="33" w:name="bookmark7"/>
      <w:r>
        <w:rPr>
          <w:rFonts w:hint="default" w:ascii="Nimbus Roman No9 L" w:hAnsi="Nimbus Roman No9 L" w:eastAsia="楷体_GB2312" w:cs="Nimbus Roman No9 L"/>
          <w:color w:val="auto"/>
          <w:sz w:val="32"/>
          <w:szCs w:val="32"/>
        </w:rPr>
        <w:t>（九）构建双循环新发展格局</w:t>
      </w:r>
      <w:bookmarkEnd w:id="32"/>
    </w:p>
    <w:p>
      <w:pPr>
        <w:keepNext w:val="0"/>
        <w:keepLines w:val="0"/>
        <w:pageBreakBefore w:val="0"/>
        <w:widowControl w:val="0"/>
        <w:kinsoku/>
        <w:wordWrap/>
        <w:overflowPunct/>
        <w:topLinePunct w:val="0"/>
        <w:autoSpaceDE/>
        <w:autoSpaceDN/>
        <w:bidi w:val="0"/>
        <w:adjustRightInd/>
        <w:snapToGrid/>
        <w:spacing w:line="580" w:lineRule="exact"/>
        <w:ind w:firstLine="642" w:firstLineChars="200"/>
        <w:textAlignment w:val="auto"/>
        <w:rPr>
          <w:rFonts w:hint="default" w:ascii="Nimbus Roman No9 L" w:hAnsi="Nimbus Roman No9 L" w:eastAsia="仿宋_GB2312" w:cs="Nimbus Roman No9 L"/>
          <w:b/>
          <w:color w:val="auto"/>
          <w:sz w:val="32"/>
          <w:szCs w:val="32"/>
        </w:rPr>
      </w:pPr>
      <w:r>
        <w:rPr>
          <w:rFonts w:hint="default" w:ascii="Nimbus Roman No9 L" w:hAnsi="Nimbus Roman No9 L" w:eastAsia="仿宋_GB2312" w:cs="Nimbus Roman No9 L"/>
          <w:b/>
          <w:color w:val="auto"/>
          <w:sz w:val="32"/>
          <w:szCs w:val="32"/>
        </w:rPr>
        <w:t>1.深度融入区域发展战略</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Nimbus Roman No9 L" w:hAnsi="Nimbus Roman No9 L" w:eastAsia="仿宋_GB2312" w:cs="Nimbus Roman No9 L"/>
          <w:color w:val="auto"/>
          <w:sz w:val="32"/>
          <w:szCs w:val="32"/>
        </w:rPr>
      </w:pPr>
      <w:r>
        <w:rPr>
          <w:rFonts w:hint="default" w:ascii="Nimbus Roman No9 L" w:hAnsi="Nimbus Roman No9 L" w:eastAsia="仿宋_GB2312" w:cs="Nimbus Roman No9 L"/>
          <w:color w:val="auto"/>
          <w:sz w:val="32"/>
          <w:szCs w:val="32"/>
        </w:rPr>
        <w:t>鼓励支持有实力的中小企业深度参与京津冀协同发展、长江经济带发展、长江三角洲区域一体化发展、粤港澳大湾区建设等国家重大区域战略。积极参与非首都功能疏解产业承接转移，充分利用滨海中关村科技园作为综合承接平台，重点承接科技创新和研发转化、企业总部等项目资源，形成协同创新发展共赢。创新工作机制，全面对接中小企业发展领先地区，积极开展科技、金融、民生、基础设施等重点领域合作，加强产业链上下游要素协同发展，积极融入“国内大循环”新发展格局。引导中小企业紧抓“津城”“滨城”双城发展布局和乡村振兴战略机遇，积极参与补齐交通等基础设施和教育、医疗等公共服务短板领域建设，为建设生态、智慧、港产城融合的宜居宜业美丽“滨城”贡献力量。</w:t>
      </w:r>
    </w:p>
    <w:p>
      <w:pPr>
        <w:keepNext w:val="0"/>
        <w:keepLines w:val="0"/>
        <w:pageBreakBefore w:val="0"/>
        <w:widowControl w:val="0"/>
        <w:kinsoku/>
        <w:wordWrap/>
        <w:overflowPunct/>
        <w:topLinePunct w:val="0"/>
        <w:autoSpaceDE/>
        <w:autoSpaceDN/>
        <w:bidi w:val="0"/>
        <w:adjustRightInd/>
        <w:snapToGrid/>
        <w:spacing w:line="580" w:lineRule="exact"/>
        <w:ind w:firstLine="642" w:firstLineChars="200"/>
        <w:textAlignment w:val="auto"/>
        <w:rPr>
          <w:rFonts w:hint="default" w:ascii="Nimbus Roman No9 L" w:hAnsi="Nimbus Roman No9 L" w:eastAsia="仿宋_GB2312" w:cs="Nimbus Roman No9 L"/>
          <w:b/>
          <w:color w:val="auto"/>
          <w:sz w:val="32"/>
          <w:szCs w:val="32"/>
        </w:rPr>
      </w:pPr>
      <w:r>
        <w:rPr>
          <w:rFonts w:hint="default" w:ascii="Nimbus Roman No9 L" w:hAnsi="Nimbus Roman No9 L" w:eastAsia="仿宋_GB2312" w:cs="Nimbus Roman No9 L"/>
          <w:b/>
          <w:color w:val="auto"/>
          <w:sz w:val="32"/>
          <w:szCs w:val="32"/>
          <w:lang w:val="en-US" w:eastAsia="zh-CN"/>
        </w:rPr>
        <w:t>2.</w:t>
      </w:r>
      <w:r>
        <w:rPr>
          <w:rFonts w:hint="default" w:ascii="Nimbus Roman No9 L" w:hAnsi="Nimbus Roman No9 L" w:eastAsia="仿宋_GB2312" w:cs="Nimbus Roman No9 L"/>
          <w:b/>
          <w:color w:val="auto"/>
          <w:sz w:val="32"/>
          <w:szCs w:val="32"/>
        </w:rPr>
        <w:t>促进中小企业国际交流合作</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Nimbus Roman No9 L" w:hAnsi="Nimbus Roman No9 L" w:eastAsia="仿宋_GB2312" w:cs="Nimbus Roman No9 L"/>
          <w:color w:val="auto"/>
          <w:sz w:val="32"/>
          <w:szCs w:val="32"/>
        </w:rPr>
      </w:pPr>
      <w:r>
        <w:rPr>
          <w:rFonts w:hint="default" w:ascii="Nimbus Roman No9 L" w:hAnsi="Nimbus Roman No9 L" w:eastAsia="仿宋_GB2312" w:cs="Nimbus Roman No9 L"/>
          <w:color w:val="auto"/>
          <w:sz w:val="32"/>
          <w:szCs w:val="32"/>
        </w:rPr>
        <w:t>探索建设中小企业海外服务体系，探索中小企业国际化发展服务机制，在国际商务法务咨询、知识产权保护、技术性贸易措施、质量认证等方面为中小企业提供帮助。借力天津港建设世界一流港口契机，加快实施以天津港为枢纽的启运港退税、中转集拼政策，鼓励跨境电商等新业态发展，探索建立B2B出口监管制度，支持跨境电商优进优出。鼓励有条件的中小企业到境外建立原材料基地、研发设计基地和营销网络，支持中小企业收购境外先进技术和最新科研成果，并购、参股境外创新型中小企业，支持中小企业技术、品牌、营销、服务“走出去”，支持中小企业参加境内外展览展销活动。深度融入“一带一路”建设，全面融入全球产业链供应链大循环。加强与国际创新高地资源链接，聚焦新兴领域，发挥天津自贸试验区、天津自创区制度优势，开展多渠道、多层次的国际交流与合作。支持国际产能合作，加快推进天津意大利中小企业产业园等建设进度，积极引入国外有竞争力的装备和生产线、先进技术、管理经验。</w:t>
      </w:r>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ind w:firstLine="0" w:firstLineChars="0"/>
        <w:jc w:val="center"/>
        <w:textAlignment w:val="auto"/>
        <w:rPr>
          <w:rFonts w:hint="default" w:ascii="Nimbus Roman No9 L" w:hAnsi="Nimbus Roman No9 L" w:eastAsia="仿宋_GB2312" w:cs="Nimbus Roman No9 L"/>
          <w:b w:val="0"/>
          <w:bCs/>
          <w:color w:val="auto"/>
          <w:sz w:val="32"/>
          <w:szCs w:val="32"/>
        </w:rPr>
      </w:pPr>
      <w:bookmarkStart w:id="34" w:name="_Toc512384776_WPSOffice_Level3"/>
      <w:bookmarkStart w:id="35" w:name="_Toc1465512398_WPSOffice_Level3"/>
      <w:r>
        <w:rPr>
          <w:rFonts w:hint="default" w:ascii="Nimbus Roman No9 L" w:hAnsi="Nimbus Roman No9 L" w:eastAsia="仿宋_GB2312" w:cs="Nimbus Roman No9 L"/>
          <w:b w:val="0"/>
          <w:bCs/>
          <w:color w:val="auto"/>
          <w:sz w:val="32"/>
          <w:szCs w:val="32"/>
        </w:rPr>
        <w:t>专栏3：试点建设中外合作产业园区</w:t>
      </w:r>
      <w:bookmarkEnd w:id="34"/>
      <w:bookmarkEnd w:id="35"/>
    </w:p>
    <w:tbl>
      <w:tblPr>
        <w:tblStyle w:val="14"/>
        <w:tblW w:w="0" w:type="auto"/>
        <w:tblInd w:w="39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8233" w:type="dxa"/>
          </w:tcPr>
          <w:p>
            <w:pPr>
              <w:keepNext w:val="0"/>
              <w:keepLines w:val="0"/>
              <w:pageBreakBefore w:val="0"/>
              <w:widowControl w:val="0"/>
              <w:kinsoku/>
              <w:wordWrap/>
              <w:overflowPunct/>
              <w:topLinePunct w:val="0"/>
              <w:autoSpaceDE/>
              <w:autoSpaceDN/>
              <w:bidi w:val="0"/>
              <w:adjustRightInd/>
              <w:snapToGrid/>
              <w:spacing w:line="580" w:lineRule="exact"/>
              <w:ind w:firstLine="480" w:firstLineChars="200"/>
              <w:jc w:val="both"/>
              <w:textAlignment w:val="auto"/>
              <w:rPr>
                <w:rFonts w:hint="default" w:ascii="Nimbus Roman No9 L" w:hAnsi="Nimbus Roman No9 L" w:eastAsia="楷体_GB2312" w:cs="Nimbus Roman No9 L"/>
                <w:b/>
                <w:color w:val="auto"/>
                <w:kern w:val="0"/>
                <w:sz w:val="28"/>
                <w:szCs w:val="28"/>
              </w:rPr>
            </w:pPr>
            <w:r>
              <w:rPr>
                <w:rFonts w:hint="default" w:ascii="Nimbus Roman No9 L" w:hAnsi="Nimbus Roman No9 L" w:eastAsia="仿宋_GB2312" w:cs="Nimbus Roman No9 L"/>
                <w:color w:val="auto"/>
                <w:kern w:val="0"/>
                <w:sz w:val="24"/>
                <w:szCs w:val="24"/>
              </w:rPr>
              <w:t>天津意大利中小企业产业园。重点围绕“智能科技”、“大健康”、“设计创意”三大产业板块，持续深化推动中意科技合作，重点支持中意科技创新合作服务平台建设，持续推动意大利优质资源落地天津意大利中小企业产业园，助力中意科技合作迈向新高度。天津意大利中小企业产业园将建设成符合意大利中小企业生产经营需求、适合员工生活的特色园区，为意大利中小企业提供务实、开放、高效的营商环境，为中意经贸合作、文化交流、产业深度融合提供服务保障，支持意大利中小企业立足天津，面向全国，开拓亚洲市场。</w:t>
            </w:r>
          </w:p>
        </w:tc>
      </w:tr>
      <w:bookmarkEnd w:id="33"/>
    </w:tbl>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0"/>
        <w:rPr>
          <w:rFonts w:hint="default" w:ascii="Nimbus Roman No9 L" w:hAnsi="Nimbus Roman No9 L" w:eastAsia="黑体" w:cs="Nimbus Roman No9 L"/>
          <w:color w:val="auto"/>
          <w:sz w:val="32"/>
          <w:szCs w:val="32"/>
        </w:rPr>
      </w:pPr>
      <w:bookmarkStart w:id="36" w:name="_Toc1662947068_WPSOffice_Level1"/>
      <w:r>
        <w:rPr>
          <w:rFonts w:hint="default" w:ascii="Nimbus Roman No9 L" w:hAnsi="Nimbus Roman No9 L" w:eastAsia="黑体" w:cs="Nimbus Roman No9 L"/>
          <w:color w:val="auto"/>
          <w:sz w:val="32"/>
          <w:szCs w:val="32"/>
        </w:rPr>
        <w:t>四、保障措施</w:t>
      </w:r>
      <w:bookmarkEnd w:id="36"/>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1"/>
        <w:rPr>
          <w:rFonts w:hint="default" w:ascii="Nimbus Roman No9 L" w:hAnsi="Nimbus Roman No9 L" w:eastAsia="楷体_GB2312" w:cs="Nimbus Roman No9 L"/>
          <w:color w:val="auto"/>
          <w:sz w:val="32"/>
          <w:szCs w:val="32"/>
          <w:lang w:val="en"/>
        </w:rPr>
      </w:pPr>
      <w:bookmarkStart w:id="37" w:name="_Toc1673635658_WPSOffice_Level2"/>
      <w:r>
        <w:rPr>
          <w:rFonts w:hint="default" w:ascii="Nimbus Roman No9 L" w:hAnsi="Nimbus Roman No9 L" w:eastAsia="楷体_GB2312" w:cs="Nimbus Roman No9 L"/>
          <w:color w:val="auto"/>
          <w:sz w:val="32"/>
          <w:szCs w:val="32"/>
          <w:lang w:val="en"/>
        </w:rPr>
        <w:t>（</w:t>
      </w:r>
      <w:r>
        <w:rPr>
          <w:rFonts w:hint="default" w:ascii="Nimbus Roman No9 L" w:hAnsi="Nimbus Roman No9 L" w:eastAsia="楷体_GB2312" w:cs="Nimbus Roman No9 L"/>
          <w:color w:val="auto"/>
          <w:sz w:val="32"/>
          <w:szCs w:val="32"/>
          <w:lang w:val="en" w:eastAsia="zh-CN"/>
        </w:rPr>
        <w:t>一</w:t>
      </w:r>
      <w:r>
        <w:rPr>
          <w:rFonts w:hint="default" w:ascii="Nimbus Roman No9 L" w:hAnsi="Nimbus Roman No9 L" w:eastAsia="楷体_GB2312" w:cs="Nimbus Roman No9 L"/>
          <w:color w:val="auto"/>
          <w:sz w:val="32"/>
          <w:szCs w:val="32"/>
          <w:lang w:val="en"/>
        </w:rPr>
        <w:t>）加强组织领导</w:t>
      </w:r>
      <w:bookmarkEnd w:id="37"/>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Nimbus Roman No9 L" w:hAnsi="Nimbus Roman No9 L" w:eastAsia="仿宋_GB2312" w:cs="Nimbus Roman No9 L"/>
          <w:color w:val="auto"/>
          <w:sz w:val="32"/>
          <w:szCs w:val="32"/>
        </w:rPr>
      </w:pPr>
      <w:r>
        <w:rPr>
          <w:rFonts w:hint="default" w:ascii="Nimbus Roman No9 L" w:hAnsi="Nimbus Roman No9 L" w:eastAsia="仿宋_GB2312" w:cs="Nimbus Roman No9 L"/>
          <w:color w:val="auto"/>
          <w:sz w:val="32"/>
          <w:szCs w:val="32"/>
        </w:rPr>
        <w:t>充分发挥滨海新区促进中小企业发展领导小组作用，完善跨部门协调联动工作机制，明确任务分工，强化责任考核，统筹政策、整合资源、协同创新。加强中小企业主管部门队伍建设，促进</w:t>
      </w:r>
      <w:r>
        <w:rPr>
          <w:rFonts w:hint="default" w:ascii="Nimbus Roman No9 L" w:hAnsi="Nimbus Roman No9 L" w:eastAsia="仿宋_GB2312" w:cs="Nimbus Roman No9 L"/>
          <w:color w:val="auto"/>
          <w:sz w:val="32"/>
          <w:szCs w:val="32"/>
        </w:rPr>
        <w:fldChar w:fldCharType="begin"/>
      </w:r>
      <w:r>
        <w:rPr>
          <w:rFonts w:hint="default" w:ascii="Nimbus Roman No9 L" w:hAnsi="Nimbus Roman No9 L" w:eastAsia="仿宋_GB2312" w:cs="Nimbus Roman No9 L"/>
          <w:color w:val="auto"/>
          <w:sz w:val="32"/>
          <w:szCs w:val="32"/>
        </w:rPr>
        <w:instrText xml:space="preserve"> HYPERLINK "https://baike.baidu.com/item/%E4%B8%AD%E5%B0%8F%E4%BC%81%E4%B8%9A%E6%94%BF%E7%AD%96/3769678" \t "_blank" </w:instrText>
      </w:r>
      <w:r>
        <w:rPr>
          <w:rFonts w:hint="default" w:ascii="Nimbus Roman No9 L" w:hAnsi="Nimbus Roman No9 L" w:eastAsia="仿宋_GB2312" w:cs="Nimbus Roman No9 L"/>
          <w:color w:val="auto"/>
          <w:sz w:val="32"/>
          <w:szCs w:val="32"/>
        </w:rPr>
        <w:fldChar w:fldCharType="separate"/>
      </w:r>
      <w:r>
        <w:rPr>
          <w:rFonts w:hint="default" w:ascii="Nimbus Roman No9 L" w:hAnsi="Nimbus Roman No9 L" w:eastAsia="仿宋_GB2312" w:cs="Nimbus Roman No9 L"/>
          <w:color w:val="auto"/>
          <w:sz w:val="32"/>
          <w:szCs w:val="32"/>
        </w:rPr>
        <w:t>中小企业政策</w:t>
      </w:r>
      <w:r>
        <w:rPr>
          <w:rFonts w:hint="default" w:ascii="Nimbus Roman No9 L" w:hAnsi="Nimbus Roman No9 L" w:eastAsia="仿宋_GB2312" w:cs="Nimbus Roman No9 L"/>
          <w:color w:val="auto"/>
          <w:sz w:val="32"/>
          <w:szCs w:val="32"/>
        </w:rPr>
        <w:fldChar w:fldCharType="end"/>
      </w:r>
      <w:r>
        <w:rPr>
          <w:rFonts w:hint="default" w:ascii="Nimbus Roman No9 L" w:hAnsi="Nimbus Roman No9 L" w:eastAsia="仿宋_GB2312" w:cs="Nimbus Roman No9 L"/>
          <w:color w:val="auto"/>
          <w:sz w:val="32"/>
          <w:szCs w:val="32"/>
        </w:rPr>
        <w:t>制定和服务工作迈上新台阶。加强规划宣传和工作指导，形成规划实施合力。积极调动行业协会、商会等社会服务组织积极性，充分发挥其整合资源、服务企业的桥梁纽带作用，引导各类协会、商会加强自身建设，主动服务新区改革发展稳定大局，依法依规开展活动，积极承接政府职能转移，在宣传政策、开拓市场、提供服务、反映诉求、维护权益、加强自律等方面积极发挥作用。</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1"/>
        <w:rPr>
          <w:rFonts w:hint="default" w:ascii="Nimbus Roman No9 L" w:hAnsi="Nimbus Roman No9 L" w:eastAsia="楷体_GB2312" w:cs="Nimbus Roman No9 L"/>
          <w:color w:val="auto"/>
          <w:sz w:val="32"/>
          <w:szCs w:val="32"/>
          <w:lang w:val="en"/>
        </w:rPr>
      </w:pPr>
      <w:bookmarkStart w:id="38" w:name="_Toc573010371_WPSOffice_Level2"/>
      <w:r>
        <w:rPr>
          <w:rFonts w:hint="default" w:ascii="Nimbus Roman No9 L" w:hAnsi="Nimbus Roman No9 L" w:eastAsia="楷体_GB2312" w:cs="Nimbus Roman No9 L"/>
          <w:color w:val="auto"/>
          <w:sz w:val="32"/>
          <w:szCs w:val="32"/>
          <w:lang w:val="en"/>
        </w:rPr>
        <w:t>（二）提升公共服务水平</w:t>
      </w:r>
      <w:bookmarkEnd w:id="38"/>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Nimbus Roman No9 L" w:hAnsi="Nimbus Roman No9 L" w:eastAsia="仿宋_GB2312" w:cs="Nimbus Roman No9 L"/>
          <w:color w:val="auto"/>
          <w:sz w:val="32"/>
          <w:szCs w:val="32"/>
        </w:rPr>
      </w:pPr>
      <w:r>
        <w:rPr>
          <w:rFonts w:hint="default" w:ascii="Nimbus Roman No9 L" w:hAnsi="Nimbus Roman No9 L" w:eastAsia="仿宋_GB2312" w:cs="Nimbus Roman No9 L"/>
          <w:color w:val="auto"/>
          <w:sz w:val="32"/>
          <w:szCs w:val="32"/>
        </w:rPr>
        <w:t>规范中介机构行为，提升会计、律师、资产评估、信息等各方面中介服务质量水平，优先为中小企业提供优质高效的信息咨询、创业辅导、技术支持、投资融资、知识产权、财会税务、法律咨询等服务。以市场化服务为主，以“互联网+”为特征，强化线上线下服务相结合，突出协同服务、精准服务，着力形成广覆盖、有特色、服务优的滨海新区中小企业服务体系，为中小企业提供公益性服务和增值性服务。引导社会化的力量参与平台网络建设，坚持政府引导与市场化发展相结合，推进与生产力促进、科技成果转化、创业就业培训、普惠金融政策支持等社会化服务机构的协同与合作。完善“政策云计算”应用功能，搭建跨部门的中小企业政策信息搜索引擎，开发“滨海政企通”APP，及时汇集涉及中小企业的法律法规、创新创业、财税金融、权益保护等各类政策，实现政府线上服务功能，为中小企业提供一站式服务。大力宣传促进中小企业发展的方针政策与法律法规，组织实施“政策翻译官”企业万家行活动，形成有利于中小企业健康发展的良好社会舆论环境。</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1"/>
        <w:rPr>
          <w:rFonts w:hint="default" w:ascii="Nimbus Roman No9 L" w:hAnsi="Nimbus Roman No9 L" w:eastAsia="楷体_GB2312" w:cs="Nimbus Roman No9 L"/>
          <w:color w:val="auto"/>
          <w:sz w:val="32"/>
          <w:szCs w:val="32"/>
          <w:lang w:val="en"/>
        </w:rPr>
      </w:pPr>
      <w:bookmarkStart w:id="39" w:name="_Toc559510018_WPSOffice_Level2"/>
      <w:r>
        <w:rPr>
          <w:rFonts w:hint="default" w:ascii="Nimbus Roman No9 L" w:hAnsi="Nimbus Roman No9 L" w:eastAsia="楷体_GB2312" w:cs="Nimbus Roman No9 L"/>
          <w:color w:val="auto"/>
          <w:sz w:val="32"/>
          <w:szCs w:val="32"/>
          <w:lang w:val="en"/>
        </w:rPr>
        <w:t>（三）落实中小企业政策法规</w:t>
      </w:r>
      <w:bookmarkEnd w:id="39"/>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ind w:firstLine="640" w:firstLineChars="200"/>
        <w:textAlignment w:val="auto"/>
        <w:rPr>
          <w:rFonts w:hint="default" w:ascii="Nimbus Roman No9 L" w:hAnsi="Nimbus Roman No9 L" w:eastAsia="仿宋_GB2312" w:cs="Nimbus Roman No9 L"/>
          <w:color w:val="auto"/>
          <w:sz w:val="32"/>
          <w:szCs w:val="32"/>
        </w:rPr>
      </w:pPr>
      <w:r>
        <w:rPr>
          <w:rFonts w:hint="default" w:ascii="Nimbus Roman No9 L" w:hAnsi="Nimbus Roman No9 L" w:eastAsia="仿宋_GB2312" w:cs="Nimbus Roman No9 L"/>
          <w:color w:val="auto"/>
          <w:sz w:val="32"/>
          <w:szCs w:val="32"/>
        </w:rPr>
        <w:t>全面贯彻落实《中华人民共和国中小企业促进法》</w:t>
      </w:r>
      <w:r>
        <w:rPr>
          <w:rFonts w:hint="default" w:ascii="Nimbus Roman No9 L" w:hAnsi="Nimbus Roman No9 L" w:eastAsia="仿宋_GB2312" w:cs="Nimbus Roman No9 L"/>
          <w:color w:val="auto"/>
          <w:sz w:val="32"/>
          <w:szCs w:val="32"/>
          <w:lang w:eastAsia="zh-CN"/>
        </w:rPr>
        <w:t>、</w:t>
      </w:r>
      <w:r>
        <w:rPr>
          <w:rFonts w:hint="default" w:ascii="Nimbus Roman No9 L" w:hAnsi="Nimbus Roman No9 L" w:eastAsia="仿宋_GB2312" w:cs="Nimbus Roman No9 L"/>
          <w:color w:val="auto"/>
          <w:sz w:val="32"/>
          <w:szCs w:val="32"/>
        </w:rPr>
        <w:t>《</w:t>
      </w:r>
      <w:r>
        <w:rPr>
          <w:rFonts w:hint="default" w:ascii="Nimbus Roman No9 L" w:hAnsi="Nimbus Roman No9 L" w:eastAsia="仿宋_GB2312" w:cs="Nimbus Roman No9 L"/>
          <w:color w:val="auto"/>
          <w:sz w:val="32"/>
          <w:szCs w:val="32"/>
          <w:lang w:eastAsia="zh-CN"/>
        </w:rPr>
        <w:t>天津市促进中小企业发展条例</w:t>
      </w:r>
      <w:r>
        <w:rPr>
          <w:rFonts w:hint="default" w:ascii="Nimbus Roman No9 L" w:hAnsi="Nimbus Roman No9 L" w:eastAsia="仿宋_GB2312" w:cs="Nimbus Roman No9 L"/>
          <w:color w:val="auto"/>
          <w:sz w:val="32"/>
          <w:szCs w:val="32"/>
        </w:rPr>
        <w:t>》等政策法规。发挥中小企业维权服务机构作用，支持中小企业服务机构帮助中小企业提高维权的意识和能力。规范市场主体交易行为，落实《保障中小企业款项支付条例》，预防和化解机关、事业单位和大型企业拖欠中小企业账款问题，用法律手段根除拖欠中小企业账款的症结，防止政府部门和大企业等利用市场优势地位侵害中小企业权益，保护中小企业的生存和发展，维护中小企业的合法权益，完善政府采购支持中小企业的政策。为中小企业开展政府采购项下融资业务提供便利，依法及时公开政府采购合同等信息。采取预算预留、消除门槛、评审优惠等手段，落实政府采购促进中小企业发展政策。在政府采购活动中，向</w:t>
      </w:r>
      <w:r>
        <w:rPr>
          <w:rFonts w:hint="default" w:ascii="Nimbus Roman No9 L" w:hAnsi="Nimbus Roman No9 L" w:eastAsia="仿宋_GB2312" w:cs="Nimbus Roman No9 L"/>
          <w:color w:val="auto"/>
          <w:sz w:val="32"/>
          <w:szCs w:val="32"/>
          <w:lang w:eastAsia="zh-CN"/>
        </w:rPr>
        <w:t>“</w:t>
      </w:r>
      <w:r>
        <w:rPr>
          <w:rFonts w:hint="default" w:ascii="Nimbus Roman No9 L" w:hAnsi="Nimbus Roman No9 L" w:eastAsia="仿宋_GB2312" w:cs="Nimbus Roman No9 L"/>
          <w:color w:val="auto"/>
          <w:sz w:val="32"/>
          <w:szCs w:val="32"/>
        </w:rPr>
        <w:t>专精特新</w:t>
      </w:r>
      <w:r>
        <w:rPr>
          <w:rFonts w:hint="default" w:ascii="Nimbus Roman No9 L" w:hAnsi="Nimbus Roman No9 L" w:eastAsia="仿宋_GB2312" w:cs="Nimbus Roman No9 L"/>
          <w:color w:val="auto"/>
          <w:sz w:val="32"/>
          <w:szCs w:val="32"/>
          <w:lang w:eastAsia="zh-CN"/>
        </w:rPr>
        <w:t>”</w:t>
      </w:r>
      <w:r>
        <w:rPr>
          <w:rFonts w:hint="default" w:ascii="Nimbus Roman No9 L" w:hAnsi="Nimbus Roman No9 L" w:eastAsia="仿宋_GB2312" w:cs="Nimbus Roman No9 L"/>
          <w:color w:val="auto"/>
          <w:sz w:val="32"/>
          <w:szCs w:val="32"/>
        </w:rPr>
        <w:t>中小企业倾斜。</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1"/>
        <w:rPr>
          <w:rFonts w:hint="default" w:ascii="Nimbus Roman No9 L" w:hAnsi="Nimbus Roman No9 L" w:eastAsia="楷体_GB2312" w:cs="Nimbus Roman No9 L"/>
          <w:color w:val="auto"/>
          <w:sz w:val="32"/>
          <w:szCs w:val="32"/>
          <w:lang w:val="en"/>
        </w:rPr>
      </w:pPr>
      <w:bookmarkStart w:id="40" w:name="_Toc1611539280_WPSOffice_Level2"/>
      <w:r>
        <w:rPr>
          <w:rFonts w:hint="default" w:ascii="Nimbus Roman No9 L" w:hAnsi="Nimbus Roman No9 L" w:eastAsia="楷体_GB2312" w:cs="Nimbus Roman No9 L"/>
          <w:color w:val="auto"/>
          <w:sz w:val="32"/>
          <w:szCs w:val="32"/>
          <w:lang w:val="en"/>
        </w:rPr>
        <w:t>（四）建立中小企业信息公开共享机制</w:t>
      </w:r>
      <w:bookmarkEnd w:id="40"/>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ind w:firstLine="640" w:firstLineChars="200"/>
        <w:textAlignment w:val="auto"/>
        <w:rPr>
          <w:rFonts w:hint="default" w:ascii="Nimbus Roman No9 L" w:hAnsi="Nimbus Roman No9 L" w:eastAsia="仿宋_GB2312" w:cs="Nimbus Roman No9 L"/>
          <w:color w:val="auto"/>
          <w:sz w:val="32"/>
          <w:szCs w:val="32"/>
        </w:rPr>
      </w:pPr>
      <w:r>
        <w:rPr>
          <w:rFonts w:hint="default" w:ascii="Nimbus Roman No9 L" w:hAnsi="Nimbus Roman No9 L" w:eastAsia="仿宋_GB2312" w:cs="Nimbus Roman No9 L"/>
          <w:color w:val="auto"/>
          <w:sz w:val="32"/>
          <w:szCs w:val="32"/>
        </w:rPr>
        <w:t>推动市场监管、金融、税务等有关部门数据开放共享，推动建立和完善中小企业数据库、中小企业分类统计、监测、分析和发布体系，逐步建立中小企业市场监测、风险防范和预警机制。利用互联网、大数据等手段，及时了解中小企业运行和发展情况，对中小企业发展态势及时进行研判、科学预警，为研究制定和完善促进中小企业发展的政策和决策提供基础支撑。</w:t>
      </w:r>
    </w:p>
    <w:p>
      <w:pPr>
        <w:keepNext w:val="0"/>
        <w:keepLines w:val="0"/>
        <w:pageBreakBefore w:val="0"/>
        <w:kinsoku/>
        <w:wordWrap/>
        <w:overflowPunct/>
        <w:topLinePunct w:val="0"/>
        <w:autoSpaceDE/>
        <w:autoSpaceDN/>
        <w:bidi w:val="0"/>
        <w:spacing w:line="580" w:lineRule="exact"/>
        <w:ind w:firstLine="420" w:firstLineChars="200"/>
        <w:textAlignment w:val="auto"/>
        <w:rPr>
          <w:rFonts w:hint="default" w:ascii="Nimbus Roman No9 L" w:hAnsi="Nimbus Roman No9 L" w:cs="Nimbus Roman No9 L"/>
          <w:color w:val="auto"/>
        </w:rPr>
      </w:pPr>
    </w:p>
    <w:sectPr>
      <w:footerReference r:id="rId3" w:type="default"/>
      <w:pgSz w:w="11906" w:h="16838"/>
      <w:pgMar w:top="2098" w:right="1474" w:bottom="1984" w:left="1587" w:header="851" w:footer="992" w:gutter="0"/>
      <w:pgBorders>
        <w:top w:val="none" w:sz="0" w:space="0"/>
        <w:left w:val="none" w:sz="0" w:space="0"/>
        <w:bottom w:val="none" w:sz="0" w:space="0"/>
        <w:right w:val="none" w:sz="0" w:space="0"/>
      </w:pgBorders>
      <w:pgNumType w:fmt="numberInDash"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Cambria">
    <w:altName w:val="FreeSerif"/>
    <w:panose1 w:val="02040503050406030204"/>
    <w:charset w:val="00"/>
    <w:family w:val="roman"/>
    <w:pitch w:val="default"/>
    <w:sig w:usb0="00000000" w:usb1="00000000" w:usb2="02000000" w:usb3="00000000" w:csb0="0000019F" w:csb1="00000000"/>
  </w:font>
  <w:font w:name="仿宋_GB2312">
    <w:panose1 w:val="02010609030101010101"/>
    <w:charset w:val="86"/>
    <w:family w:val="modern"/>
    <w:pitch w:val="default"/>
    <w:sig w:usb0="00000001" w:usb1="080E0000" w:usb2="00000000" w:usb3="00000000" w:csb0="00040000" w:csb1="00000000"/>
  </w:font>
  <w:font w:name="华文中宋">
    <w:altName w:val="方正书宋_GBK"/>
    <w:panose1 w:val="02010600040101010101"/>
    <w:charset w:val="86"/>
    <w:family w:val="auto"/>
    <w:pitch w:val="default"/>
    <w:sig w:usb0="00000000" w:usb1="00000000" w:usb2="00000010" w:usb3="00000000" w:csb0="0004009F" w:csb1="00000000"/>
  </w:font>
  <w:font w:name="MingLiU">
    <w:altName w:val="Droid Sans Japanese"/>
    <w:panose1 w:val="02010609000101010101"/>
    <w:charset w:val="88"/>
    <w:family w:val="modern"/>
    <w:pitch w:val="default"/>
    <w:sig w:usb0="00000000" w:usb1="00000000" w:usb2="00000010" w:usb3="00000000" w:csb0="00100000" w:csb1="00000000"/>
  </w:font>
  <w:font w:name="AngsanaUPC">
    <w:altName w:val="FreeSerif"/>
    <w:panose1 w:val="00000000000000000000"/>
    <w:charset w:val="00"/>
    <w:family w:val="roman"/>
    <w:pitch w:val="default"/>
    <w:sig w:usb0="00000000" w:usb1="00000000" w:usb2="00000000" w:usb3="00000000" w:csb0="00010001" w:csb1="00000000"/>
  </w:font>
  <w:font w:name="Nimbus Roman No9 L">
    <w:panose1 w:val="00000000000000000000"/>
    <w:charset w:val="00"/>
    <w:family w:val="auto"/>
    <w:pitch w:val="default"/>
    <w:sig w:usb0="00000000" w:usb1="00000000" w:usb2="00000000" w:usb3="00000000" w:csb0="00000000" w:csb1="00000000"/>
  </w:font>
  <w:font w:name="方正小标宋简体">
    <w:panose1 w:val="02000000000000000000"/>
    <w:charset w:val="86"/>
    <w:family w:val="auto"/>
    <w:pitch w:val="default"/>
    <w:sig w:usb0="A00002BF" w:usb1="184F6CFA" w:usb2="00000012" w:usb3="00000000" w:csb0="00040001" w:csb1="00000000"/>
  </w:font>
  <w:font w:name="楷体_GB2312">
    <w:panose1 w:val="02010609030101010101"/>
    <w:charset w:val="86"/>
    <w:family w:val="modern"/>
    <w:pitch w:val="default"/>
    <w:sig w:usb0="00000001" w:usb1="080E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 w:name="方正宋体S-超大字符集">
    <w:panose1 w:val="02000000000000000000"/>
    <w:charset w:val="86"/>
    <w:family w:val="auto"/>
    <w:pitch w:val="default"/>
    <w:sig w:usb0="00000001" w:usb1="08000000" w:usb2="00000000" w:usb3="00000000" w:csb0="00040000" w:csb1="00000000"/>
  </w:font>
  <w:font w:name="FreeSerif">
    <w:panose1 w:val="02020603050405020304"/>
    <w:charset w:val="00"/>
    <w:family w:val="auto"/>
    <w:pitch w:val="default"/>
    <w:sig w:usb0="E59FAFFF" w:usb1="C200FDFF" w:usb2="43501B29" w:usb3="04000043" w:csb0="6001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right"/>
    </w:pPr>
  </w:p>
  <w:p>
    <w:pPr>
      <w:pStyle w:val="2"/>
    </w:pPr>
    <w:r>
      <w:rPr>
        <w:sz w:val="21"/>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137795</wp:posOffset>
              </wp:positionV>
              <wp:extent cx="787400" cy="379095"/>
              <wp:effectExtent l="0" t="0" r="0" b="0"/>
              <wp:wrapNone/>
              <wp:docPr id="2" name="文本框 2"/>
              <wp:cNvGraphicFramePr/>
              <a:graphic xmlns:a="http://schemas.openxmlformats.org/drawingml/2006/main">
                <a:graphicData uri="http://schemas.microsoft.com/office/word/2010/wordprocessingShape">
                  <wps:wsp>
                    <wps:cNvSpPr txBox="true"/>
                    <wps:spPr>
                      <a:xfrm>
                        <a:off x="0" y="0"/>
                        <a:ext cx="787400" cy="37909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rPr>
                              <w:sz w:val="32"/>
                              <w:szCs w:val="32"/>
                            </w:rPr>
                            <w:id w:val="2105529029"/>
                            <w:docPartObj>
                              <w:docPartGallery w:val="autotext"/>
                            </w:docPartObj>
                          </w:sdtPr>
                          <w:sdtEndPr>
                            <w:rPr>
                              <w:sz w:val="32"/>
                              <w:szCs w:val="32"/>
                            </w:rPr>
                          </w:sdtEndPr>
                          <w:sdtContent>
                            <w:p>
                              <w:pPr>
                                <w:pStyle w:val="2"/>
                              </w:pPr>
                              <w:r>
                                <w:rPr>
                                  <w:sz w:val="32"/>
                                  <w:szCs w:val="32"/>
                                </w:rPr>
                                <w:fldChar w:fldCharType="begin"/>
                              </w:r>
                              <w:r>
                                <w:rPr>
                                  <w:sz w:val="32"/>
                                  <w:szCs w:val="32"/>
                                </w:rPr>
                                <w:instrText xml:space="preserve">PAGE   \* MERGEFORMAT</w:instrText>
                              </w:r>
                              <w:r>
                                <w:rPr>
                                  <w:sz w:val="32"/>
                                  <w:szCs w:val="32"/>
                                </w:rPr>
                                <w:fldChar w:fldCharType="separate"/>
                              </w:r>
                              <w:r>
                                <w:rPr>
                                  <w:sz w:val="32"/>
                                  <w:szCs w:val="32"/>
                                  <w:lang w:val="zh-CN"/>
                                </w:rPr>
                                <w:t>-</w:t>
                              </w:r>
                              <w:r>
                                <w:rPr>
                                  <w:sz w:val="32"/>
                                  <w:szCs w:val="32"/>
                                </w:rPr>
                                <w:t xml:space="preserve"> 1 -</w:t>
                              </w:r>
                              <w:r>
                                <w:rPr>
                                  <w:sz w:val="32"/>
                                  <w:szCs w:val="32"/>
                                </w:rPr>
                                <w:fldChar w:fldCharType="end"/>
                              </w:r>
                            </w:p>
                          </w:sdtContent>
                        </w:sdt>
                        <w:p>
                          <w:pPr>
                            <w:pStyle w:val="2"/>
                          </w:pPr>
                        </w:p>
                      </w:txbxContent>
                    </wps:txbx>
                    <wps:bodyPr rot="0" spcFirstLastPara="0" vertOverflow="overflow" horzOverflow="overflow" vert="horz" wrap="square" lIns="0" tIns="0" rIns="0" bIns="0" numCol="1" spcCol="0" rtlCol="0" fromWordArt="false" anchor="t" anchorCtr="false" forceAA="false" upright="false" compatLnSpc="true">
                      <a:noAutofit/>
                    </wps:bodyPr>
                  </wps:wsp>
                </a:graphicData>
              </a:graphic>
            </wp:anchor>
          </w:drawing>
        </mc:Choice>
        <mc:Fallback>
          <w:pict>
            <v:shape id="_x0000_s1026" o:spid="_x0000_s1026" o:spt="202" type="#_x0000_t202" style="position:absolute;left:0pt;margin-top:10.85pt;height:29.85pt;width:62pt;mso-position-horizontal:outside;mso-position-horizontal-relative:margin;z-index:251658240;mso-width-relative:page;mso-height-relative:page;" filled="f" stroked="f" coordsize="21600,21600" o:gfxdata="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BYAAABkcnMv&#10;UEsBAhQAFAAAAAgAh07iQDp4MhPVAAAABgEAAA8AAAAAAAAAAQAgAAAAOAAAAGRycy9kb3ducmV2&#10;LnhtbFBLAQIUABQAAAAIAIdO4kDuXQZ/IgIAACkEAAAOAAAAAAAAAAEAIAAAADoBAABkcnMvZTJv&#10;RG9jLnhtbFBLBQYAAAAABgAGAFkBAADOBQAAAAA=&#10;">
              <v:fill on="f" focussize="0,0"/>
              <v:stroke on="f" weight="0.5pt"/>
              <v:imagedata o:title=""/>
              <o:lock v:ext="edit" aspectratio="f"/>
              <v:textbox inset="0mm,0mm,0mm,0mm">
                <w:txbxContent>
                  <w:sdt>
                    <w:sdtPr>
                      <w:rPr>
                        <w:sz w:val="32"/>
                        <w:szCs w:val="32"/>
                      </w:rPr>
                      <w:id w:val="2105529029"/>
                      <w:docPartObj>
                        <w:docPartGallery w:val="autotext"/>
                      </w:docPartObj>
                    </w:sdtPr>
                    <w:sdtEndPr>
                      <w:rPr>
                        <w:sz w:val="32"/>
                        <w:szCs w:val="32"/>
                      </w:rPr>
                    </w:sdtEndPr>
                    <w:sdtContent>
                      <w:p>
                        <w:pPr>
                          <w:pStyle w:val="2"/>
                        </w:pPr>
                        <w:r>
                          <w:rPr>
                            <w:sz w:val="32"/>
                            <w:szCs w:val="32"/>
                          </w:rPr>
                          <w:fldChar w:fldCharType="begin"/>
                        </w:r>
                        <w:r>
                          <w:rPr>
                            <w:sz w:val="32"/>
                            <w:szCs w:val="32"/>
                          </w:rPr>
                          <w:instrText xml:space="preserve">PAGE   \* MERGEFORMAT</w:instrText>
                        </w:r>
                        <w:r>
                          <w:rPr>
                            <w:sz w:val="32"/>
                            <w:szCs w:val="32"/>
                          </w:rPr>
                          <w:fldChar w:fldCharType="separate"/>
                        </w:r>
                        <w:r>
                          <w:rPr>
                            <w:sz w:val="32"/>
                            <w:szCs w:val="32"/>
                            <w:lang w:val="zh-CN"/>
                          </w:rPr>
                          <w:t>-</w:t>
                        </w:r>
                        <w:r>
                          <w:rPr>
                            <w:sz w:val="32"/>
                            <w:szCs w:val="32"/>
                          </w:rPr>
                          <w:t xml:space="preserve"> 1 -</w:t>
                        </w:r>
                        <w:r>
                          <w:rPr>
                            <w:sz w:val="32"/>
                            <w:szCs w:val="32"/>
                          </w:rPr>
                          <w:fldChar w:fldCharType="end"/>
                        </w:r>
                      </w:p>
                    </w:sdtContent>
                  </w:sdt>
                  <w:p>
                    <w:pPr>
                      <w:pStyle w:val="2"/>
                    </w:pPr>
                  </w:p>
                </w:txbxContent>
              </v:textbox>
            </v:shape>
          </w:pict>
        </mc:Fallback>
      </mc:AlternateContent>
    </w:r>
  </w:p>
  <w:p>
    <w:pPr>
      <w:pStyle w:val="2"/>
    </w:pPr>
  </w:p>
  <w:p>
    <w:pPr>
      <w:pStyle w:val="8"/>
      <w:tabs>
        <w:tab w:val="left" w:pos="2361"/>
        <w:tab w:val="center" w:pos="4213"/>
      </w:tabs>
      <w:jc w:val="left"/>
    </w:pPr>
    <w:r>
      <w:rPr>
        <w:sz w:val="18"/>
        <w:lang w:val="en"/>
      </w:rPr>
      <w:tab/>
    </w:r>
    <w:r>
      <w:rPr>
        <w:lang w:val="en"/>
      </w:rPr>
      <w:tab/>
    </w:r>
  </w:p>
  <w:p>
    <w:pPr>
      <w:pStyle w:val="8"/>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true"/>
  <w:bordersDoNotSurroundFooter w:val="true"/>
  <w:revisionView w:markup="0"/>
  <w:trackRevisions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A9C"/>
    <w:rsid w:val="00006639"/>
    <w:rsid w:val="00013CE0"/>
    <w:rsid w:val="0001436F"/>
    <w:rsid w:val="00014A55"/>
    <w:rsid w:val="00015583"/>
    <w:rsid w:val="000248C7"/>
    <w:rsid w:val="0004177E"/>
    <w:rsid w:val="00051EAC"/>
    <w:rsid w:val="00076B9D"/>
    <w:rsid w:val="000830AD"/>
    <w:rsid w:val="00084314"/>
    <w:rsid w:val="0009217D"/>
    <w:rsid w:val="00097F57"/>
    <w:rsid w:val="000A1909"/>
    <w:rsid w:val="000B3C84"/>
    <w:rsid w:val="000C0220"/>
    <w:rsid w:val="000C4B7A"/>
    <w:rsid w:val="000C52ED"/>
    <w:rsid w:val="000C5C9A"/>
    <w:rsid w:val="000E13DB"/>
    <w:rsid w:val="000E3D8A"/>
    <w:rsid w:val="000E5B82"/>
    <w:rsid w:val="000E79B5"/>
    <w:rsid w:val="000F1F1A"/>
    <w:rsid w:val="000F216C"/>
    <w:rsid w:val="000F6F3E"/>
    <w:rsid w:val="00104496"/>
    <w:rsid w:val="001161F0"/>
    <w:rsid w:val="00125804"/>
    <w:rsid w:val="0013493A"/>
    <w:rsid w:val="001626BF"/>
    <w:rsid w:val="001720C6"/>
    <w:rsid w:val="001738C3"/>
    <w:rsid w:val="00180663"/>
    <w:rsid w:val="001866CB"/>
    <w:rsid w:val="001B682A"/>
    <w:rsid w:val="001C6311"/>
    <w:rsid w:val="001C6F2D"/>
    <w:rsid w:val="001F011D"/>
    <w:rsid w:val="001F3221"/>
    <w:rsid w:val="0020687B"/>
    <w:rsid w:val="0021095E"/>
    <w:rsid w:val="00215DB8"/>
    <w:rsid w:val="00217215"/>
    <w:rsid w:val="00235755"/>
    <w:rsid w:val="002511E3"/>
    <w:rsid w:val="00264BF4"/>
    <w:rsid w:val="0027416C"/>
    <w:rsid w:val="00284DE9"/>
    <w:rsid w:val="002853A0"/>
    <w:rsid w:val="002868A4"/>
    <w:rsid w:val="00291D38"/>
    <w:rsid w:val="002A3C32"/>
    <w:rsid w:val="002B7071"/>
    <w:rsid w:val="002B78B0"/>
    <w:rsid w:val="002C4197"/>
    <w:rsid w:val="002D00F7"/>
    <w:rsid w:val="002D577D"/>
    <w:rsid w:val="002F1EB7"/>
    <w:rsid w:val="00315544"/>
    <w:rsid w:val="003244B6"/>
    <w:rsid w:val="00325ED1"/>
    <w:rsid w:val="00331608"/>
    <w:rsid w:val="003321F9"/>
    <w:rsid w:val="003361DD"/>
    <w:rsid w:val="00341086"/>
    <w:rsid w:val="0035448E"/>
    <w:rsid w:val="00355F55"/>
    <w:rsid w:val="00374D4E"/>
    <w:rsid w:val="00377A4D"/>
    <w:rsid w:val="0038231E"/>
    <w:rsid w:val="003866CB"/>
    <w:rsid w:val="0039262C"/>
    <w:rsid w:val="003A2E10"/>
    <w:rsid w:val="003B0641"/>
    <w:rsid w:val="003C0E11"/>
    <w:rsid w:val="003C2127"/>
    <w:rsid w:val="003D55EB"/>
    <w:rsid w:val="003D6FAA"/>
    <w:rsid w:val="003E019C"/>
    <w:rsid w:val="00400039"/>
    <w:rsid w:val="00414ED7"/>
    <w:rsid w:val="00415ACE"/>
    <w:rsid w:val="004207AC"/>
    <w:rsid w:val="00437116"/>
    <w:rsid w:val="00441A43"/>
    <w:rsid w:val="0044587E"/>
    <w:rsid w:val="004512DC"/>
    <w:rsid w:val="004658DF"/>
    <w:rsid w:val="00474548"/>
    <w:rsid w:val="00475237"/>
    <w:rsid w:val="00480644"/>
    <w:rsid w:val="0048146D"/>
    <w:rsid w:val="004815C3"/>
    <w:rsid w:val="00485C79"/>
    <w:rsid w:val="00486223"/>
    <w:rsid w:val="0049235C"/>
    <w:rsid w:val="004A0A80"/>
    <w:rsid w:val="004A283D"/>
    <w:rsid w:val="004A6267"/>
    <w:rsid w:val="004C2314"/>
    <w:rsid w:val="004D128E"/>
    <w:rsid w:val="004E0C4F"/>
    <w:rsid w:val="005133B5"/>
    <w:rsid w:val="0051404B"/>
    <w:rsid w:val="00514926"/>
    <w:rsid w:val="00516F1A"/>
    <w:rsid w:val="005300D8"/>
    <w:rsid w:val="00531147"/>
    <w:rsid w:val="005333DA"/>
    <w:rsid w:val="005366AF"/>
    <w:rsid w:val="00544CDA"/>
    <w:rsid w:val="00557B80"/>
    <w:rsid w:val="00560323"/>
    <w:rsid w:val="005617DB"/>
    <w:rsid w:val="005669B4"/>
    <w:rsid w:val="00573737"/>
    <w:rsid w:val="00574B4D"/>
    <w:rsid w:val="00575690"/>
    <w:rsid w:val="00577938"/>
    <w:rsid w:val="0058049F"/>
    <w:rsid w:val="00586BCC"/>
    <w:rsid w:val="00593F9B"/>
    <w:rsid w:val="005A2FE4"/>
    <w:rsid w:val="005A3655"/>
    <w:rsid w:val="005A42F4"/>
    <w:rsid w:val="005A47BA"/>
    <w:rsid w:val="005B6CC4"/>
    <w:rsid w:val="005C4312"/>
    <w:rsid w:val="005C7F3B"/>
    <w:rsid w:val="005D39A8"/>
    <w:rsid w:val="005E0670"/>
    <w:rsid w:val="005E5A9E"/>
    <w:rsid w:val="005E6500"/>
    <w:rsid w:val="005E716A"/>
    <w:rsid w:val="005F0B2C"/>
    <w:rsid w:val="005F5196"/>
    <w:rsid w:val="006233DD"/>
    <w:rsid w:val="00626C6B"/>
    <w:rsid w:val="006306A8"/>
    <w:rsid w:val="00633D7E"/>
    <w:rsid w:val="00637920"/>
    <w:rsid w:val="00637F91"/>
    <w:rsid w:val="00660975"/>
    <w:rsid w:val="00661D3D"/>
    <w:rsid w:val="006656A3"/>
    <w:rsid w:val="006827BC"/>
    <w:rsid w:val="00695753"/>
    <w:rsid w:val="0069792E"/>
    <w:rsid w:val="006A1DF0"/>
    <w:rsid w:val="006A5F21"/>
    <w:rsid w:val="006D699B"/>
    <w:rsid w:val="006D6B76"/>
    <w:rsid w:val="006E0EEE"/>
    <w:rsid w:val="006E30B8"/>
    <w:rsid w:val="006E4C5A"/>
    <w:rsid w:val="006F2B3E"/>
    <w:rsid w:val="006F7021"/>
    <w:rsid w:val="00704913"/>
    <w:rsid w:val="00706745"/>
    <w:rsid w:val="00715059"/>
    <w:rsid w:val="0073048C"/>
    <w:rsid w:val="00737AD0"/>
    <w:rsid w:val="00741CA0"/>
    <w:rsid w:val="00745E44"/>
    <w:rsid w:val="00752598"/>
    <w:rsid w:val="007678C2"/>
    <w:rsid w:val="00774797"/>
    <w:rsid w:val="0077699E"/>
    <w:rsid w:val="007868FC"/>
    <w:rsid w:val="007914E0"/>
    <w:rsid w:val="00793DDF"/>
    <w:rsid w:val="007A2642"/>
    <w:rsid w:val="007A6688"/>
    <w:rsid w:val="007B28EB"/>
    <w:rsid w:val="007B315A"/>
    <w:rsid w:val="007C2973"/>
    <w:rsid w:val="007D0435"/>
    <w:rsid w:val="00804B41"/>
    <w:rsid w:val="008449B2"/>
    <w:rsid w:val="008453B3"/>
    <w:rsid w:val="008500C8"/>
    <w:rsid w:val="00856619"/>
    <w:rsid w:val="00862720"/>
    <w:rsid w:val="0086401D"/>
    <w:rsid w:val="0087117B"/>
    <w:rsid w:val="0087243D"/>
    <w:rsid w:val="008828E6"/>
    <w:rsid w:val="00883000"/>
    <w:rsid w:val="0088372C"/>
    <w:rsid w:val="00897267"/>
    <w:rsid w:val="00897D41"/>
    <w:rsid w:val="008A2B80"/>
    <w:rsid w:val="008A37D2"/>
    <w:rsid w:val="008A4C56"/>
    <w:rsid w:val="008B637E"/>
    <w:rsid w:val="008C31E2"/>
    <w:rsid w:val="008D1EFA"/>
    <w:rsid w:val="008D3178"/>
    <w:rsid w:val="008D673F"/>
    <w:rsid w:val="00912106"/>
    <w:rsid w:val="00916A50"/>
    <w:rsid w:val="009222F8"/>
    <w:rsid w:val="009229C9"/>
    <w:rsid w:val="00922AA7"/>
    <w:rsid w:val="00926CA3"/>
    <w:rsid w:val="00927449"/>
    <w:rsid w:val="00930475"/>
    <w:rsid w:val="009424FE"/>
    <w:rsid w:val="009437FB"/>
    <w:rsid w:val="00950C89"/>
    <w:rsid w:val="00954D93"/>
    <w:rsid w:val="009633C7"/>
    <w:rsid w:val="00964DDC"/>
    <w:rsid w:val="009673F4"/>
    <w:rsid w:val="009726EB"/>
    <w:rsid w:val="00975191"/>
    <w:rsid w:val="00976D39"/>
    <w:rsid w:val="00982BE4"/>
    <w:rsid w:val="009913A7"/>
    <w:rsid w:val="009940BE"/>
    <w:rsid w:val="009B7968"/>
    <w:rsid w:val="009C6810"/>
    <w:rsid w:val="009D3EE7"/>
    <w:rsid w:val="009D526E"/>
    <w:rsid w:val="009D7DE7"/>
    <w:rsid w:val="009E2F1F"/>
    <w:rsid w:val="009E5ADE"/>
    <w:rsid w:val="009E5B42"/>
    <w:rsid w:val="009E7C88"/>
    <w:rsid w:val="009F30A6"/>
    <w:rsid w:val="00A03A6A"/>
    <w:rsid w:val="00A220DA"/>
    <w:rsid w:val="00A251B3"/>
    <w:rsid w:val="00A50875"/>
    <w:rsid w:val="00A60DE5"/>
    <w:rsid w:val="00A74346"/>
    <w:rsid w:val="00A827A3"/>
    <w:rsid w:val="00A84384"/>
    <w:rsid w:val="00A970DF"/>
    <w:rsid w:val="00A97371"/>
    <w:rsid w:val="00AA0BC5"/>
    <w:rsid w:val="00AA1980"/>
    <w:rsid w:val="00AA1B16"/>
    <w:rsid w:val="00AA4169"/>
    <w:rsid w:val="00AC4BD8"/>
    <w:rsid w:val="00AD50AA"/>
    <w:rsid w:val="00AE17A8"/>
    <w:rsid w:val="00AE2EAF"/>
    <w:rsid w:val="00AE7999"/>
    <w:rsid w:val="00AE7C1B"/>
    <w:rsid w:val="00AF2E5C"/>
    <w:rsid w:val="00AF5F43"/>
    <w:rsid w:val="00AF69DA"/>
    <w:rsid w:val="00B12834"/>
    <w:rsid w:val="00B141E6"/>
    <w:rsid w:val="00B15F27"/>
    <w:rsid w:val="00B16E06"/>
    <w:rsid w:val="00B3789E"/>
    <w:rsid w:val="00B67D7A"/>
    <w:rsid w:val="00B73501"/>
    <w:rsid w:val="00B744CF"/>
    <w:rsid w:val="00B85848"/>
    <w:rsid w:val="00B96961"/>
    <w:rsid w:val="00BB0563"/>
    <w:rsid w:val="00BB5416"/>
    <w:rsid w:val="00BD79C0"/>
    <w:rsid w:val="00BE4CAF"/>
    <w:rsid w:val="00BE731A"/>
    <w:rsid w:val="00C04F12"/>
    <w:rsid w:val="00C16E50"/>
    <w:rsid w:val="00C215DF"/>
    <w:rsid w:val="00C31336"/>
    <w:rsid w:val="00C417BC"/>
    <w:rsid w:val="00C44B46"/>
    <w:rsid w:val="00C505FF"/>
    <w:rsid w:val="00C55DA1"/>
    <w:rsid w:val="00C72B6B"/>
    <w:rsid w:val="00C8145E"/>
    <w:rsid w:val="00C81686"/>
    <w:rsid w:val="00C97314"/>
    <w:rsid w:val="00CA2B0A"/>
    <w:rsid w:val="00CB6256"/>
    <w:rsid w:val="00CC2E7E"/>
    <w:rsid w:val="00CC5557"/>
    <w:rsid w:val="00CC7090"/>
    <w:rsid w:val="00CD5292"/>
    <w:rsid w:val="00CE0474"/>
    <w:rsid w:val="00CE7A9C"/>
    <w:rsid w:val="00D0063F"/>
    <w:rsid w:val="00D05343"/>
    <w:rsid w:val="00D059F2"/>
    <w:rsid w:val="00D14BBF"/>
    <w:rsid w:val="00D16B01"/>
    <w:rsid w:val="00D32180"/>
    <w:rsid w:val="00D4520E"/>
    <w:rsid w:val="00D470AF"/>
    <w:rsid w:val="00D57AC1"/>
    <w:rsid w:val="00D73091"/>
    <w:rsid w:val="00D813EC"/>
    <w:rsid w:val="00D8369E"/>
    <w:rsid w:val="00D84383"/>
    <w:rsid w:val="00D912EF"/>
    <w:rsid w:val="00DA2353"/>
    <w:rsid w:val="00DB21E5"/>
    <w:rsid w:val="00DB55C5"/>
    <w:rsid w:val="00DB59F5"/>
    <w:rsid w:val="00DB6393"/>
    <w:rsid w:val="00DB77EA"/>
    <w:rsid w:val="00DC3E7E"/>
    <w:rsid w:val="00DD6773"/>
    <w:rsid w:val="00DD7B83"/>
    <w:rsid w:val="00DF07EB"/>
    <w:rsid w:val="00E004D1"/>
    <w:rsid w:val="00E04FA8"/>
    <w:rsid w:val="00E11E41"/>
    <w:rsid w:val="00E24849"/>
    <w:rsid w:val="00E32AAA"/>
    <w:rsid w:val="00E34BDF"/>
    <w:rsid w:val="00E534FD"/>
    <w:rsid w:val="00E71439"/>
    <w:rsid w:val="00E74133"/>
    <w:rsid w:val="00E83BC7"/>
    <w:rsid w:val="00EA1A09"/>
    <w:rsid w:val="00EA49A7"/>
    <w:rsid w:val="00EB34E3"/>
    <w:rsid w:val="00EB41E0"/>
    <w:rsid w:val="00EB4E7B"/>
    <w:rsid w:val="00EB5404"/>
    <w:rsid w:val="00ED52D8"/>
    <w:rsid w:val="00ED5D84"/>
    <w:rsid w:val="00ED74CF"/>
    <w:rsid w:val="00EE5007"/>
    <w:rsid w:val="00EF0827"/>
    <w:rsid w:val="00EF7EB4"/>
    <w:rsid w:val="00F04D78"/>
    <w:rsid w:val="00F052B6"/>
    <w:rsid w:val="00F07E9E"/>
    <w:rsid w:val="00F2035E"/>
    <w:rsid w:val="00F245BB"/>
    <w:rsid w:val="00F33BAC"/>
    <w:rsid w:val="00F42AE8"/>
    <w:rsid w:val="00F44985"/>
    <w:rsid w:val="00F62BF8"/>
    <w:rsid w:val="00F8301C"/>
    <w:rsid w:val="00F85168"/>
    <w:rsid w:val="00F963CC"/>
    <w:rsid w:val="00F96549"/>
    <w:rsid w:val="00FB2B0B"/>
    <w:rsid w:val="00FC377A"/>
    <w:rsid w:val="00FC4818"/>
    <w:rsid w:val="00FD71B0"/>
    <w:rsid w:val="00FE0EA4"/>
    <w:rsid w:val="00FE2722"/>
    <w:rsid w:val="00FF3A43"/>
    <w:rsid w:val="00FF4328"/>
    <w:rsid w:val="00FF4D42"/>
    <w:rsid w:val="00FF6A10"/>
    <w:rsid w:val="0F37AD99"/>
    <w:rsid w:val="0FDB0DC1"/>
    <w:rsid w:val="0FFF2375"/>
    <w:rsid w:val="13FDFA60"/>
    <w:rsid w:val="15B31804"/>
    <w:rsid w:val="15DF2B0C"/>
    <w:rsid w:val="17F9CC3B"/>
    <w:rsid w:val="1CFF9B28"/>
    <w:rsid w:val="1D3ABAF8"/>
    <w:rsid w:val="1DFED72D"/>
    <w:rsid w:val="1F45B0DB"/>
    <w:rsid w:val="1FFA8596"/>
    <w:rsid w:val="27DF59AF"/>
    <w:rsid w:val="2AE711BA"/>
    <w:rsid w:val="2F7B9904"/>
    <w:rsid w:val="2FB7D984"/>
    <w:rsid w:val="2FEDF113"/>
    <w:rsid w:val="31FFA325"/>
    <w:rsid w:val="32FBD2F1"/>
    <w:rsid w:val="33F67530"/>
    <w:rsid w:val="35D7B105"/>
    <w:rsid w:val="37FE9733"/>
    <w:rsid w:val="39ED70A1"/>
    <w:rsid w:val="3ABF590C"/>
    <w:rsid w:val="3B6B7715"/>
    <w:rsid w:val="3B7FDACD"/>
    <w:rsid w:val="3CF5764C"/>
    <w:rsid w:val="3E67D80E"/>
    <w:rsid w:val="3E75ABF8"/>
    <w:rsid w:val="3EF7E703"/>
    <w:rsid w:val="3F5FA96B"/>
    <w:rsid w:val="3F7A33B3"/>
    <w:rsid w:val="3FB60D55"/>
    <w:rsid w:val="3FDFA613"/>
    <w:rsid w:val="3FFE26E3"/>
    <w:rsid w:val="40FFD7A8"/>
    <w:rsid w:val="49DDA47B"/>
    <w:rsid w:val="4DFD40CA"/>
    <w:rsid w:val="4FDB1F33"/>
    <w:rsid w:val="4FFFC7DF"/>
    <w:rsid w:val="51EF659D"/>
    <w:rsid w:val="539720A4"/>
    <w:rsid w:val="55FAB236"/>
    <w:rsid w:val="56CC18B4"/>
    <w:rsid w:val="57DDE49E"/>
    <w:rsid w:val="59FC9504"/>
    <w:rsid w:val="5AD71294"/>
    <w:rsid w:val="5BBFC05C"/>
    <w:rsid w:val="5BC73BF4"/>
    <w:rsid w:val="5BED934D"/>
    <w:rsid w:val="5BFF8B5D"/>
    <w:rsid w:val="5DCF313B"/>
    <w:rsid w:val="5E9D439D"/>
    <w:rsid w:val="5EB117BE"/>
    <w:rsid w:val="5EBF1CED"/>
    <w:rsid w:val="5EEAE744"/>
    <w:rsid w:val="5FCD315C"/>
    <w:rsid w:val="5FEF7EB0"/>
    <w:rsid w:val="5FF63064"/>
    <w:rsid w:val="5FF9A6A2"/>
    <w:rsid w:val="64FFF634"/>
    <w:rsid w:val="666E7CFF"/>
    <w:rsid w:val="673BB70B"/>
    <w:rsid w:val="67F2DD26"/>
    <w:rsid w:val="6B179774"/>
    <w:rsid w:val="6B7E959E"/>
    <w:rsid w:val="6BCAE3CD"/>
    <w:rsid w:val="6BEF9F86"/>
    <w:rsid w:val="6F5FE73C"/>
    <w:rsid w:val="6FA7663F"/>
    <w:rsid w:val="6FBB3D8C"/>
    <w:rsid w:val="6FE97DD9"/>
    <w:rsid w:val="6FEF9DC5"/>
    <w:rsid w:val="6FF67121"/>
    <w:rsid w:val="6FFBFAEB"/>
    <w:rsid w:val="6FFD2D8E"/>
    <w:rsid w:val="71FF9521"/>
    <w:rsid w:val="72373EC9"/>
    <w:rsid w:val="735D02AD"/>
    <w:rsid w:val="753D363A"/>
    <w:rsid w:val="7557723C"/>
    <w:rsid w:val="75F7AA61"/>
    <w:rsid w:val="76FB92A7"/>
    <w:rsid w:val="77216211"/>
    <w:rsid w:val="77E9045F"/>
    <w:rsid w:val="77EF4482"/>
    <w:rsid w:val="77FEB81E"/>
    <w:rsid w:val="78BD27D6"/>
    <w:rsid w:val="7917462A"/>
    <w:rsid w:val="79BFD8CF"/>
    <w:rsid w:val="79FFE285"/>
    <w:rsid w:val="7A7B57AC"/>
    <w:rsid w:val="7B77D33C"/>
    <w:rsid w:val="7B9F3290"/>
    <w:rsid w:val="7BAF2839"/>
    <w:rsid w:val="7BBEC095"/>
    <w:rsid w:val="7BBF825A"/>
    <w:rsid w:val="7BD5BFD4"/>
    <w:rsid w:val="7BDF41BA"/>
    <w:rsid w:val="7BE7D988"/>
    <w:rsid w:val="7BFFE31E"/>
    <w:rsid w:val="7CEF37E4"/>
    <w:rsid w:val="7CFDFDF4"/>
    <w:rsid w:val="7D7F3B89"/>
    <w:rsid w:val="7DBDD55D"/>
    <w:rsid w:val="7DFC0D69"/>
    <w:rsid w:val="7E57652D"/>
    <w:rsid w:val="7E75C89B"/>
    <w:rsid w:val="7EEF72BB"/>
    <w:rsid w:val="7EFFF8D2"/>
    <w:rsid w:val="7F4E1D94"/>
    <w:rsid w:val="7F7E33D6"/>
    <w:rsid w:val="7F7E77B8"/>
    <w:rsid w:val="7F821B6E"/>
    <w:rsid w:val="7FA671E0"/>
    <w:rsid w:val="7FB3D85B"/>
    <w:rsid w:val="7FBF8899"/>
    <w:rsid w:val="7FBF94AF"/>
    <w:rsid w:val="7FBFF504"/>
    <w:rsid w:val="7FD9419D"/>
    <w:rsid w:val="7FDE4C67"/>
    <w:rsid w:val="7FDFF56C"/>
    <w:rsid w:val="7FEF6335"/>
    <w:rsid w:val="7FFCB40E"/>
    <w:rsid w:val="7FFF5495"/>
    <w:rsid w:val="8BE9FD83"/>
    <w:rsid w:val="8BFFF170"/>
    <w:rsid w:val="9BFF4D15"/>
    <w:rsid w:val="9EDF6220"/>
    <w:rsid w:val="9F7B5D17"/>
    <w:rsid w:val="9F7CB82F"/>
    <w:rsid w:val="9FA7ADD4"/>
    <w:rsid w:val="ABFE72AA"/>
    <w:rsid w:val="ADB73D69"/>
    <w:rsid w:val="AEED357E"/>
    <w:rsid w:val="AFE74CCB"/>
    <w:rsid w:val="B3F9577F"/>
    <w:rsid w:val="B65F34AF"/>
    <w:rsid w:val="B6BF211D"/>
    <w:rsid w:val="B75D1B32"/>
    <w:rsid w:val="B7E37DBA"/>
    <w:rsid w:val="B7FB692E"/>
    <w:rsid w:val="BB5D3614"/>
    <w:rsid w:val="BBEE70A9"/>
    <w:rsid w:val="BDBEAD96"/>
    <w:rsid w:val="BE7E383F"/>
    <w:rsid w:val="BFB14C8C"/>
    <w:rsid w:val="BFBD4CF3"/>
    <w:rsid w:val="BFDF3657"/>
    <w:rsid w:val="C7FFC108"/>
    <w:rsid w:val="CBEFED00"/>
    <w:rsid w:val="CEFBF7DF"/>
    <w:rsid w:val="D6BB9289"/>
    <w:rsid w:val="D6DF0406"/>
    <w:rsid w:val="DB6E012F"/>
    <w:rsid w:val="DED89FAD"/>
    <w:rsid w:val="DEDF1BD6"/>
    <w:rsid w:val="DEE79337"/>
    <w:rsid w:val="DF93810E"/>
    <w:rsid w:val="DF9C3164"/>
    <w:rsid w:val="DFA5AC13"/>
    <w:rsid w:val="E7F7E1B1"/>
    <w:rsid w:val="EA7C862F"/>
    <w:rsid w:val="EBED93B9"/>
    <w:rsid w:val="EBF71A04"/>
    <w:rsid w:val="ED5F1713"/>
    <w:rsid w:val="EDFF8BBB"/>
    <w:rsid w:val="EF08FAB5"/>
    <w:rsid w:val="EF6F149C"/>
    <w:rsid w:val="EFB1BD32"/>
    <w:rsid w:val="EFBE964B"/>
    <w:rsid w:val="EFC7F216"/>
    <w:rsid w:val="EFE65644"/>
    <w:rsid w:val="EFFF648C"/>
    <w:rsid w:val="EFFFFDB1"/>
    <w:rsid w:val="F2DA4CD5"/>
    <w:rsid w:val="F3896402"/>
    <w:rsid w:val="F7CED9ED"/>
    <w:rsid w:val="F7D4F0F9"/>
    <w:rsid w:val="F7DBC064"/>
    <w:rsid w:val="F7ED9813"/>
    <w:rsid w:val="F7EF2E7A"/>
    <w:rsid w:val="F7F48998"/>
    <w:rsid w:val="F7FDCB42"/>
    <w:rsid w:val="F7FFEF77"/>
    <w:rsid w:val="F8EF4B5C"/>
    <w:rsid w:val="F9974D81"/>
    <w:rsid w:val="F9E6DC87"/>
    <w:rsid w:val="FA57E9E9"/>
    <w:rsid w:val="FB3CAB40"/>
    <w:rsid w:val="FB6F35AC"/>
    <w:rsid w:val="FB8F5120"/>
    <w:rsid w:val="FBA7ABE1"/>
    <w:rsid w:val="FBA9FC43"/>
    <w:rsid w:val="FBCE2E4F"/>
    <w:rsid w:val="FBCEF383"/>
    <w:rsid w:val="FCD62E32"/>
    <w:rsid w:val="FCFD5A94"/>
    <w:rsid w:val="FD759056"/>
    <w:rsid w:val="FD8DD1EB"/>
    <w:rsid w:val="FDE77439"/>
    <w:rsid w:val="FDFECF83"/>
    <w:rsid w:val="FE5D6404"/>
    <w:rsid w:val="FE8D1545"/>
    <w:rsid w:val="FEBD7BC5"/>
    <w:rsid w:val="FED98924"/>
    <w:rsid w:val="FEE39FE3"/>
    <w:rsid w:val="FEFB4C55"/>
    <w:rsid w:val="FEFB92A1"/>
    <w:rsid w:val="FF3B5CE4"/>
    <w:rsid w:val="FF7C9A08"/>
    <w:rsid w:val="FF7E8A81"/>
    <w:rsid w:val="FF87D966"/>
    <w:rsid w:val="FF8DE7AE"/>
    <w:rsid w:val="FF8E30FC"/>
    <w:rsid w:val="FFED4680"/>
    <w:rsid w:val="FFED6B12"/>
    <w:rsid w:val="FFEF4B73"/>
    <w:rsid w:val="FFEF7E14"/>
    <w:rsid w:val="FFF63706"/>
    <w:rsid w:val="FFF75C58"/>
    <w:rsid w:val="FFF9130E"/>
    <w:rsid w:val="FFFD5C6F"/>
    <w:rsid w:val="FFFE51A1"/>
    <w:rsid w:val="FFFE7ADE"/>
    <w:rsid w:val="FFFF6226"/>
    <w:rsid w:val="FFFF6E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link w:val="29"/>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27"/>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26"/>
    <w:unhideWhenUsed/>
    <w:qFormat/>
    <w:uiPriority w:val="0"/>
    <w:pPr>
      <w:keepLines/>
      <w:outlineLvl w:val="2"/>
    </w:pPr>
    <w:rPr>
      <w:rFonts w:ascii="Times New Roman" w:hAnsi="Times New Roman" w:eastAsia="仿宋_GB2312"/>
      <w:b/>
      <w:bCs/>
      <w:sz w:val="32"/>
      <w:szCs w:val="32"/>
    </w:rPr>
  </w:style>
  <w:style w:type="character" w:default="1" w:styleId="15">
    <w:name w:val="Default Paragraph Font"/>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24"/>
    <w:qFormat/>
    <w:uiPriority w:val="0"/>
    <w:pPr>
      <w:spacing w:before="100" w:line="360" w:lineRule="exact"/>
      <w:jc w:val="center"/>
    </w:pPr>
    <w:rPr>
      <w:rFonts w:ascii="仿宋_GB2312" w:hAnsi="华文中宋" w:eastAsia="仿宋_GB2312" w:cs="Times New Roman"/>
      <w:szCs w:val="24"/>
    </w:rPr>
  </w:style>
  <w:style w:type="paragraph" w:styleId="6">
    <w:name w:val="toc 3"/>
    <w:basedOn w:val="1"/>
    <w:next w:val="1"/>
    <w:qFormat/>
    <w:uiPriority w:val="39"/>
    <w:pPr>
      <w:ind w:left="840" w:leftChars="400"/>
    </w:pPr>
    <w:rPr>
      <w:rFonts w:ascii="Times New Roman" w:hAnsi="Times New Roman" w:eastAsia="宋体" w:cs="Times New Roman"/>
      <w:szCs w:val="24"/>
    </w:rPr>
  </w:style>
  <w:style w:type="paragraph" w:styleId="7">
    <w:name w:val="Balloon Text"/>
    <w:basedOn w:val="1"/>
    <w:link w:val="28"/>
    <w:semiHidden/>
    <w:unhideWhenUsed/>
    <w:qFormat/>
    <w:uiPriority w:val="99"/>
    <w:rPr>
      <w:sz w:val="18"/>
      <w:szCs w:val="18"/>
    </w:rPr>
  </w:style>
  <w:style w:type="paragraph" w:styleId="8">
    <w:name w:val="footer"/>
    <w:basedOn w:val="1"/>
    <w:link w:val="19"/>
    <w:unhideWhenUsed/>
    <w:qFormat/>
    <w:uiPriority w:val="99"/>
    <w:pPr>
      <w:tabs>
        <w:tab w:val="center" w:pos="4153"/>
        <w:tab w:val="right" w:pos="8306"/>
      </w:tabs>
      <w:snapToGrid w:val="0"/>
      <w:jc w:val="left"/>
    </w:pPr>
    <w:rPr>
      <w:sz w:val="18"/>
      <w:szCs w:val="18"/>
    </w:rPr>
  </w:style>
  <w:style w:type="paragraph" w:styleId="9">
    <w:name w:val="header"/>
    <w:basedOn w:val="1"/>
    <w:link w:val="18"/>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toc 1"/>
    <w:basedOn w:val="1"/>
    <w:next w:val="1"/>
    <w:qFormat/>
    <w:uiPriority w:val="39"/>
    <w:pPr>
      <w:ind w:firstLine="200" w:firstLineChars="200"/>
    </w:pPr>
    <w:rPr>
      <w:rFonts w:eastAsia="仿宋_GB2312"/>
      <w:sz w:val="32"/>
      <w:szCs w:val="24"/>
    </w:rPr>
  </w:style>
  <w:style w:type="paragraph" w:styleId="11">
    <w:name w:val="toc 2"/>
    <w:basedOn w:val="1"/>
    <w:next w:val="1"/>
    <w:qFormat/>
    <w:uiPriority w:val="39"/>
    <w:pPr>
      <w:ind w:left="420" w:leftChars="200"/>
    </w:pPr>
    <w:rPr>
      <w:rFonts w:ascii="Times New Roman" w:hAnsi="Times New Roman" w:eastAsia="宋体" w:cs="Times New Roman"/>
      <w:szCs w:val="24"/>
    </w:rPr>
  </w:style>
  <w:style w:type="paragraph" w:styleId="12">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14">
    <w:name w:val="Table Grid"/>
    <w:basedOn w:val="13"/>
    <w:qFormat/>
    <w:uiPriority w:val="0"/>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6">
    <w:name w:val="page number"/>
    <w:basedOn w:val="15"/>
    <w:qFormat/>
    <w:uiPriority w:val="0"/>
  </w:style>
  <w:style w:type="character" w:styleId="17">
    <w:name w:val="Hyperlink"/>
    <w:basedOn w:val="15"/>
    <w:unhideWhenUsed/>
    <w:qFormat/>
    <w:uiPriority w:val="99"/>
    <w:rPr>
      <w:color w:val="0000FF"/>
      <w:u w:val="single"/>
    </w:rPr>
  </w:style>
  <w:style w:type="character" w:customStyle="1" w:styleId="18">
    <w:name w:val="页眉 Char"/>
    <w:basedOn w:val="15"/>
    <w:link w:val="9"/>
    <w:qFormat/>
    <w:uiPriority w:val="99"/>
    <w:rPr>
      <w:sz w:val="18"/>
      <w:szCs w:val="18"/>
    </w:rPr>
  </w:style>
  <w:style w:type="character" w:customStyle="1" w:styleId="19">
    <w:name w:val="页脚 Char"/>
    <w:basedOn w:val="15"/>
    <w:link w:val="8"/>
    <w:qFormat/>
    <w:uiPriority w:val="99"/>
    <w:rPr>
      <w:sz w:val="18"/>
      <w:szCs w:val="18"/>
    </w:rPr>
  </w:style>
  <w:style w:type="character" w:customStyle="1" w:styleId="20">
    <w:name w:val="页眉或页脚 + MingLiU"/>
    <w:basedOn w:val="15"/>
    <w:qFormat/>
    <w:uiPriority w:val="0"/>
    <w:rPr>
      <w:rFonts w:ascii="MingLiU" w:hAnsi="MingLiU" w:eastAsia="MingLiU" w:cs="MingLiU"/>
      <w:color w:val="000000"/>
      <w:spacing w:val="20"/>
      <w:w w:val="100"/>
      <w:position w:val="0"/>
      <w:sz w:val="32"/>
      <w:szCs w:val="32"/>
      <w:u w:val="none"/>
      <w:lang w:val="zh-TW" w:eastAsia="zh-TW" w:bidi="zh-TW"/>
    </w:rPr>
  </w:style>
  <w:style w:type="character" w:customStyle="1" w:styleId="21">
    <w:name w:val="页眉或页脚"/>
    <w:basedOn w:val="15"/>
    <w:qFormat/>
    <w:uiPriority w:val="0"/>
    <w:rPr>
      <w:rFonts w:ascii="AngsanaUPC" w:hAnsi="AngsanaUPC" w:eastAsia="AngsanaUPC" w:cs="AngsanaUPC"/>
      <w:color w:val="000000"/>
      <w:spacing w:val="0"/>
      <w:w w:val="100"/>
      <w:position w:val="0"/>
      <w:sz w:val="40"/>
      <w:szCs w:val="40"/>
      <w:u w:val="none"/>
      <w:lang w:val="zh-TW" w:eastAsia="zh-TW" w:bidi="zh-TW"/>
    </w:rPr>
  </w:style>
  <w:style w:type="paragraph" w:customStyle="1" w:styleId="22">
    <w:name w:val="列出段落1"/>
    <w:basedOn w:val="1"/>
    <w:qFormat/>
    <w:uiPriority w:val="34"/>
    <w:pPr>
      <w:ind w:firstLine="420" w:firstLineChars="200"/>
    </w:pPr>
  </w:style>
  <w:style w:type="paragraph" w:styleId="23">
    <w:name w:val="List Paragraph"/>
    <w:basedOn w:val="1"/>
    <w:qFormat/>
    <w:uiPriority w:val="34"/>
    <w:pPr>
      <w:ind w:firstLine="420" w:firstLineChars="200"/>
    </w:pPr>
  </w:style>
  <w:style w:type="character" w:customStyle="1" w:styleId="24">
    <w:name w:val="正文文本 Char"/>
    <w:basedOn w:val="15"/>
    <w:link w:val="2"/>
    <w:qFormat/>
    <w:uiPriority w:val="0"/>
    <w:rPr>
      <w:rFonts w:ascii="仿宋_GB2312" w:hAnsi="华文中宋" w:eastAsia="仿宋_GB2312" w:cs="Times New Roman"/>
      <w:szCs w:val="24"/>
    </w:rPr>
  </w:style>
  <w:style w:type="paragraph" w:customStyle="1" w:styleId="25">
    <w:name w:val="gei正文"/>
    <w:basedOn w:val="1"/>
    <w:qFormat/>
    <w:uiPriority w:val="0"/>
    <w:pPr>
      <w:spacing w:line="560" w:lineRule="exact"/>
      <w:ind w:firstLine="200" w:firstLineChars="200"/>
    </w:pPr>
    <w:rPr>
      <w:rFonts w:ascii="仿宋_GB2312" w:hAnsi="Times New Roman" w:eastAsia="仿宋_GB2312" w:cs="Times New Roman"/>
      <w:sz w:val="32"/>
      <w:szCs w:val="28"/>
    </w:rPr>
  </w:style>
  <w:style w:type="character" w:customStyle="1" w:styleId="26">
    <w:name w:val="标题 3 Char"/>
    <w:basedOn w:val="15"/>
    <w:link w:val="5"/>
    <w:qFormat/>
    <w:uiPriority w:val="0"/>
    <w:rPr>
      <w:rFonts w:ascii="Times New Roman" w:hAnsi="Times New Roman" w:eastAsia="仿宋_GB2312"/>
      <w:b/>
      <w:bCs/>
      <w:sz w:val="32"/>
      <w:szCs w:val="32"/>
    </w:rPr>
  </w:style>
  <w:style w:type="character" w:customStyle="1" w:styleId="27">
    <w:name w:val="标题 2 Char"/>
    <w:basedOn w:val="15"/>
    <w:link w:val="4"/>
    <w:semiHidden/>
    <w:qFormat/>
    <w:uiPriority w:val="9"/>
    <w:rPr>
      <w:rFonts w:asciiTheme="majorHAnsi" w:hAnsiTheme="majorHAnsi" w:eastAsiaTheme="majorEastAsia" w:cstheme="majorBidi"/>
      <w:b/>
      <w:bCs/>
      <w:sz w:val="32"/>
      <w:szCs w:val="32"/>
    </w:rPr>
  </w:style>
  <w:style w:type="character" w:customStyle="1" w:styleId="28">
    <w:name w:val="批注框文本 Char"/>
    <w:basedOn w:val="15"/>
    <w:link w:val="7"/>
    <w:semiHidden/>
    <w:qFormat/>
    <w:uiPriority w:val="99"/>
    <w:rPr>
      <w:sz w:val="18"/>
      <w:szCs w:val="18"/>
    </w:rPr>
  </w:style>
  <w:style w:type="character" w:customStyle="1" w:styleId="29">
    <w:name w:val="标题 1 Char"/>
    <w:basedOn w:val="15"/>
    <w:link w:val="3"/>
    <w:qFormat/>
    <w:uiPriority w:val="9"/>
    <w:rPr>
      <w:b/>
      <w:bCs/>
      <w:kern w:val="44"/>
      <w:sz w:val="44"/>
      <w:szCs w:val="44"/>
    </w:rPr>
  </w:style>
  <w:style w:type="paragraph" w:customStyle="1" w:styleId="30">
    <w:name w:val="TOC Heading"/>
    <w:basedOn w:val="3"/>
    <w:next w:val="1"/>
    <w:semiHidden/>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paragraph" w:customStyle="1" w:styleId="31">
    <w:name w:val="WPSOffice手动目录 1"/>
    <w:qFormat/>
    <w:uiPriority w:val="0"/>
    <w:pPr>
      <w:ind w:leftChars="0"/>
    </w:pPr>
    <w:rPr>
      <w:rFonts w:asciiTheme="minorHAnsi" w:hAnsiTheme="minorHAnsi" w:eastAsiaTheme="minorEastAsia" w:cstheme="minorBidi"/>
      <w:sz w:val="20"/>
      <w:szCs w:val="20"/>
    </w:rPr>
  </w:style>
  <w:style w:type="paragraph" w:customStyle="1" w:styleId="32">
    <w:name w:val="WPSOffice手动目录 2"/>
    <w:qFormat/>
    <w:uiPriority w:val="0"/>
    <w:pPr>
      <w:ind w:leftChars="200"/>
    </w:pPr>
    <w:rPr>
      <w:rFonts w:asciiTheme="minorHAnsi" w:hAnsiTheme="minorHAnsi" w:eastAsiaTheme="minorEastAsia" w:cstheme="minorBidi"/>
      <w:sz w:val="20"/>
      <w:szCs w:val="20"/>
    </w:rPr>
  </w:style>
  <w:style w:type="paragraph" w:customStyle="1" w:styleId="33">
    <w:name w:val="WPSOffice手动目录 3"/>
    <w:qFormat/>
    <w:uiPriority w:val="0"/>
    <w:pPr>
      <w:ind w:leftChars="400"/>
    </w:pPr>
    <w:rPr>
      <w:rFonts w:asciiTheme="minorHAnsi" w:hAnsiTheme="minorHAnsi" w:eastAsiaTheme="minorEastAsia" w:cstheme="minorBidi"/>
      <w:sz w:val="20"/>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35</Pages>
  <Words>3246</Words>
  <Characters>18508</Characters>
  <Lines>154</Lines>
  <Paragraphs>43</Paragraphs>
  <TotalTime>9</TotalTime>
  <ScaleCrop>false</ScaleCrop>
  <LinksUpToDate>false</LinksUpToDate>
  <CharactersWithSpaces>21711</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2021-06-30T04:14:00Z</dcterms:created>
  <dc:creator>Administrator</dc:creator>
  <cp:lastModifiedBy>建文排版</cp:lastModifiedBy>
  <dcterms:modified xsi:type="dcterms:W3CDTF">2021-09-22T08:46:22Z</dcterms:modified>
  <cp:revision>41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