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contextualSpacing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滨海新区街镇行政区划调整事项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—社会公众参与公告</w:t>
      </w:r>
    </w:p>
    <w:p>
      <w:pPr>
        <w:pStyle w:val="9"/>
        <w:spacing w:line="520" w:lineRule="exact"/>
        <w:ind w:firstLine="0" w:firstLineChars="0"/>
        <w:rPr>
          <w:rFonts w:ascii="黑体" w:hAnsi="黑体" w:eastAsia="黑体"/>
          <w:sz w:val="36"/>
          <w:szCs w:val="36"/>
        </w:rPr>
      </w:pPr>
    </w:p>
    <w:p>
      <w:pPr>
        <w:pStyle w:val="9"/>
        <w:spacing w:line="52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一、项目名称及概要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1.项目名称：滨海新区街镇行政区划调整事项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概要：为更好服务国家区域发展战略，构建京津冀地区多元互补、协调联动、合作共赢的产业体系和发展格局，高水平构建“津城”“滨城”双城发展格局，打破行政区划壁垒，聚焦要素资源，破解发展瓶颈制约，优化要素资源配置，发挥行政区划资源服务经济社会发展的基础性作用，进一步完善社会治理体系、提高社会治理能力，滨海新区拟调整部分街镇行政区划，具体调整方案为：</w:t>
      </w:r>
    </w:p>
    <w:p>
      <w:pPr>
        <w:autoSpaceDE w:val="0"/>
        <w:autoSpaceDN w:val="0"/>
        <w:adjustRightInd w:val="0"/>
        <w:spacing w:line="64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  <w:lang w:val="zh-CN"/>
        </w:rPr>
        <w:t>（一）街镇行政区域界线调整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将新河街黑猪河以西区域整合到胡家园街行政区域范围；拟将大沽街管理的渤龙湖区域整合到北塘街行政区域范围，河南路以西区域整合到新城镇行政区域范围，滨海绕城高速公路以南区域（包含经开区中区以南区域）整合到古林街行政区域范围；拟将新港街散货物流区域整合到大沽街行政区域范围；拟将杭州道街京山铁路以东区域整合到泰达街行政区域范围。</w:t>
      </w:r>
    </w:p>
    <w:p>
      <w:pPr>
        <w:autoSpaceDE w:val="0"/>
        <w:autoSpaceDN w:val="0"/>
        <w:adjustRightInd w:val="0"/>
        <w:spacing w:line="64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  <w:lang w:val="zh-CN"/>
        </w:rPr>
        <w:t>（二）开发区与</w:t>
      </w:r>
      <w:r>
        <w:rPr>
          <w:rFonts w:eastAsia="楷体_GB2312"/>
          <w:b/>
          <w:color w:val="000000"/>
          <w:kern w:val="0"/>
          <w:sz w:val="32"/>
          <w:szCs w:val="32"/>
          <w:lang w:val="zh-CN"/>
        </w:rPr>
        <w:t>街镇融合发展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涉及行政区域界线调整，不改变现行管理体制。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将东疆综合保税区纳入新港街行政管辖范围；拟将天津港保税区海港区域纳入新港街行政管辖范围；拟将天津港保税区临港经济区纳入大沽街行政管辖范围；拟将经开区中区纳入古林街行政管辖范围；拟将经开区南港工业区纳入海滨街行政管辖范围。</w:t>
      </w:r>
    </w:p>
    <w:p>
      <w:pPr>
        <w:autoSpaceDE w:val="0"/>
        <w:autoSpaceDN w:val="0"/>
        <w:adjustRightInd w:val="0"/>
        <w:spacing w:line="64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  <w:lang w:val="zh-CN"/>
        </w:rPr>
        <w:t>（三）自然保护区纳入毗邻街镇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涉及行政区域界线调整，不改变现行管理体制。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拟将天津北大港湿地自然保护区纳入中塘镇行政管辖范围。</w:t>
      </w:r>
    </w:p>
    <w:p>
      <w:pPr>
        <w:pStyle w:val="9"/>
        <w:spacing w:line="52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二、项目单位名称和联系方式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项目单位：天津市滨海新区民政局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通讯地址：天津市滨海新区国泰大厦A座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联系电话：022-65305682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真：022-65305662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邮    箱：mzjjczqhsqjs@tjbh.gov.cn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咨询机构：天津天咨国际工程项目管理有限公司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通讯地址：天津市东丽区卫国道204号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联系电话：022-60121166-8075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真：022-60121166-8000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邮    箱：772889634@qq.com </w:t>
      </w:r>
    </w:p>
    <w:p>
      <w:pPr>
        <w:pStyle w:val="4"/>
        <w:ind w:left="0" w:leftChars="0"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上述联系方式联系时间为周一至周五（节假日除外）9:00-17:30</w:t>
      </w:r>
    </w:p>
    <w:p>
      <w:pPr>
        <w:pStyle w:val="9"/>
        <w:spacing w:line="52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三、社会公众参与的工作程序和工作内容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识别项目自身存在的风险因素。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对项目实施的合理性和合法性进行分析。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对可能导致风险的因素进行分析。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对本项目的风险进行评级，提出改进措施或项目实施建议。</w:t>
      </w:r>
    </w:p>
    <w:p>
      <w:pPr>
        <w:pStyle w:val="9"/>
        <w:spacing w:line="52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四、征求公众意见的主要事项、主要方式和截止日期</w:t>
      </w:r>
    </w:p>
    <w:p>
      <w:pPr>
        <w:autoSpaceDE w:val="0"/>
        <w:autoSpaceDN w:val="0"/>
        <w:adjustRightInd w:val="0"/>
        <w:spacing w:line="64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</w:rPr>
        <w:t>（一）主要事项</w:t>
      </w:r>
    </w:p>
    <w:p>
      <w:pPr>
        <w:pStyle w:val="9"/>
        <w:spacing w:line="520" w:lineRule="exact"/>
        <w:ind w:left="750" w:firstLine="0" w:firstLineChars="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1.本项目的实施对当地社会及经济发展的影响；</w:t>
      </w:r>
    </w:p>
    <w:p>
      <w:pPr>
        <w:pStyle w:val="9"/>
        <w:spacing w:line="520" w:lineRule="exact"/>
        <w:ind w:left="750" w:firstLine="0" w:firstLineChars="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2.项目实施对公民个人或家庭自身利益的影响；</w:t>
      </w:r>
    </w:p>
    <w:p>
      <w:pPr>
        <w:pStyle w:val="9"/>
        <w:spacing w:line="520" w:lineRule="exact"/>
        <w:ind w:left="750" w:firstLine="0" w:firstLineChars="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3.对本项目的态度；</w:t>
      </w:r>
    </w:p>
    <w:p>
      <w:pPr>
        <w:pStyle w:val="9"/>
        <w:spacing w:line="520" w:lineRule="exact"/>
        <w:ind w:left="750" w:firstLine="0" w:firstLineChars="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4.公众关心的其他相关问题。</w:t>
      </w:r>
    </w:p>
    <w:p>
      <w:pPr>
        <w:autoSpaceDE w:val="0"/>
        <w:autoSpaceDN w:val="0"/>
        <w:adjustRightInd w:val="0"/>
        <w:spacing w:line="64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</w:rPr>
        <w:t>（二）主要方式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对本项目的意见或建议，可以通过信函、电话、电子邮件、传真等方式向上述项目单位实名提出自己的意见和建议。</w:t>
      </w:r>
    </w:p>
    <w:p>
      <w:pPr>
        <w:autoSpaceDE w:val="0"/>
        <w:autoSpaceDN w:val="0"/>
        <w:adjustRightInd w:val="0"/>
        <w:spacing w:line="64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</w:rPr>
        <w:t>（三）截止日期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本公告有效期为30日（自公告之日起到2022年7月 27日截止）。</w:t>
      </w:r>
    </w:p>
    <w:p>
      <w:pPr>
        <w:pStyle w:val="9"/>
        <w:spacing w:line="520" w:lineRule="exact"/>
        <w:ind w:firstLine="0" w:firstLineChars="0"/>
        <w:rPr>
          <w:rFonts w:ascii="仿宋_GB2312" w:hAnsi="Calibri" w:eastAsia="仿宋_GB2312"/>
          <w:sz w:val="32"/>
          <w:szCs w:val="32"/>
        </w:rPr>
      </w:pPr>
    </w:p>
    <w:p>
      <w:pPr>
        <w:pStyle w:val="9"/>
        <w:spacing w:line="520" w:lineRule="exact"/>
        <w:ind w:firstLine="0" w:firstLineChars="0"/>
        <w:rPr>
          <w:rFonts w:hint="eastAsia" w:ascii="仿宋_GB2312" w:hAnsi="Calibri" w:eastAsia="仿宋_GB2312"/>
          <w:sz w:val="32"/>
          <w:szCs w:val="32"/>
        </w:rPr>
      </w:pPr>
    </w:p>
    <w:p>
      <w:pPr>
        <w:pStyle w:val="9"/>
        <w:spacing w:line="520" w:lineRule="exact"/>
        <w:ind w:firstLine="0" w:firstLineChars="0"/>
        <w:rPr>
          <w:rFonts w:ascii="仿宋_GB2312" w:hAnsi="Calibri" w:eastAsia="仿宋_GB2312"/>
          <w:sz w:val="32"/>
          <w:szCs w:val="32"/>
        </w:rPr>
      </w:pPr>
    </w:p>
    <w:p>
      <w:pPr>
        <w:pStyle w:val="9"/>
        <w:spacing w:line="520" w:lineRule="exact"/>
        <w:ind w:firstLine="4480" w:firstLineChars="14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天津市滨海新区民政局</w:t>
      </w:r>
    </w:p>
    <w:p>
      <w:pPr>
        <w:pStyle w:val="9"/>
        <w:spacing w:line="520" w:lineRule="exact"/>
        <w:ind w:firstLine="64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                  2022年6月28日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yNGQ5ZDMyOWQ1MzdmY2UzYjM0MWUwY2Q2ZDUyNGIifQ=="/>
  </w:docVars>
  <w:rsids>
    <w:rsidRoot w:val="00E8743E"/>
    <w:rsid w:val="000821C5"/>
    <w:rsid w:val="00E8743E"/>
    <w:rsid w:val="1EE3AE65"/>
    <w:rsid w:val="3CBB7838"/>
    <w:rsid w:val="602B6675"/>
    <w:rsid w:val="66C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7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8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7">
    <w:name w:val="正文文本缩进 Char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正文首行缩进 2 Char"/>
    <w:basedOn w:val="7"/>
    <w:link w:val="4"/>
    <w:qFormat/>
    <w:uiPriority w:val="0"/>
    <w:rPr>
      <w:rFonts w:ascii="Calibri" w:hAnsi="Calibri" w:eastAsia="宋体" w:cs="Times New Roman"/>
      <w:szCs w:val="24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1025</Words>
  <Characters>1143</Characters>
  <Lines>8</Lines>
  <Paragraphs>2</Paragraphs>
  <TotalTime>21</TotalTime>
  <ScaleCrop>false</ScaleCrop>
  <LinksUpToDate>false</LinksUpToDate>
  <CharactersWithSpaces>1192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2022-06-28T18:01:00Z</dcterms:created>
  <dc:creator>Windows User</dc:creator>
  <cp:lastModifiedBy>面面</cp:lastModifiedBy>
  <dcterms:modified xsi:type="dcterms:W3CDTF">2022-06-28T06:19:41Z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8E7A9A00A40048EDA8E2E6F71BA70713</vt:lpwstr>
  </property>
</Properties>
</file>