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方正小标宋简体" w:eastAsia="方正小标宋简体" w:cs="仿宋_GB2312"/>
          <w:bCs/>
          <w:sz w:val="44"/>
          <w:szCs w:val="44"/>
        </w:rPr>
      </w:pPr>
      <w:r>
        <w:rPr>
          <w:rFonts w:hint="eastAsia" w:ascii="方正小标宋简体" w:eastAsia="方正小标宋简体" w:cs="仿宋_GB2312"/>
          <w:bCs/>
          <w:sz w:val="44"/>
          <w:szCs w:val="44"/>
        </w:rPr>
        <w:t>天津市滨海新区海滨人民医院职责目录</w:t>
      </w:r>
    </w:p>
    <w:tbl>
      <w:tblPr>
        <w:tblStyle w:val="5"/>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1701"/>
        <w:gridCol w:w="992"/>
        <w:gridCol w:w="4961"/>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restart"/>
          </w:tcPr>
          <w:p>
            <w:pPr>
              <w:widowControl/>
              <w:jc w:val="center"/>
              <w:rPr>
                <w:sz w:val="28"/>
                <w:szCs w:val="28"/>
              </w:rPr>
            </w:pPr>
            <w:r>
              <w:rPr>
                <w:rFonts w:hint="eastAsia" w:ascii="方正黑体简体" w:hAnsi="宋体" w:eastAsia="方正黑体简体" w:cs="宋体"/>
                <w:kern w:val="0"/>
                <w:sz w:val="30"/>
                <w:szCs w:val="30"/>
              </w:rPr>
              <w:t>序号</w:t>
            </w:r>
          </w:p>
        </w:tc>
        <w:tc>
          <w:tcPr>
            <w:tcW w:w="1701" w:type="dxa"/>
            <w:vMerge w:val="restart"/>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rPr>
                <w:sz w:val="28"/>
                <w:szCs w:val="28"/>
              </w:rPr>
            </w:pPr>
            <w:r>
              <w:rPr>
                <w:rFonts w:hint="eastAsia" w:ascii="方正黑体简体" w:hAnsi="宋体" w:eastAsia="方正黑体简体" w:cs="宋体"/>
                <w:kern w:val="0"/>
                <w:sz w:val="30"/>
                <w:szCs w:val="30"/>
              </w:rPr>
              <w:t>职责</w:t>
            </w:r>
          </w:p>
        </w:tc>
        <w:tc>
          <w:tcPr>
            <w:tcW w:w="6804" w:type="dxa"/>
            <w:gridSpan w:val="3"/>
          </w:tcPr>
          <w:p>
            <w:pPr>
              <w:widowControl/>
              <w:jc w:val="center"/>
              <w:rPr>
                <w:sz w:val="28"/>
                <w:szCs w:val="28"/>
              </w:rPr>
            </w:pPr>
            <w:r>
              <w:rPr>
                <w:rFonts w:hint="eastAsia" w:ascii="方正黑体简体" w:hAnsi="宋体" w:eastAsia="方正黑体简体" w:cs="宋体"/>
                <w:kern w:val="0"/>
                <w:sz w:val="30"/>
                <w:szCs w:val="30"/>
              </w:rPr>
              <w:t>职责事项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jc w:val="center"/>
              <w:rPr>
                <w:sz w:val="28"/>
                <w:szCs w:val="28"/>
              </w:rPr>
            </w:pPr>
          </w:p>
        </w:tc>
        <w:tc>
          <w:tcPr>
            <w:tcW w:w="1701" w:type="dxa"/>
            <w:vMerge w:val="continue"/>
          </w:tcPr>
          <w:p>
            <w:pPr>
              <w:jc w:val="center"/>
              <w:rPr>
                <w:sz w:val="28"/>
                <w:szCs w:val="28"/>
              </w:rPr>
            </w:pPr>
          </w:p>
        </w:tc>
        <w:tc>
          <w:tcPr>
            <w:tcW w:w="992" w:type="dxa"/>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4961" w:type="dxa"/>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名称</w:t>
            </w:r>
          </w:p>
        </w:tc>
        <w:tc>
          <w:tcPr>
            <w:tcW w:w="851" w:type="dxa"/>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restart"/>
            <w:vAlign w:val="center"/>
          </w:tcPr>
          <w:p>
            <w:pPr>
              <w:jc w:val="center"/>
              <w:rPr>
                <w:sz w:val="28"/>
                <w:szCs w:val="28"/>
              </w:rPr>
            </w:pPr>
            <w:r>
              <w:rPr>
                <w:rFonts w:hint="eastAsia"/>
                <w:sz w:val="28"/>
                <w:szCs w:val="28"/>
              </w:rPr>
              <w:t>1</w:t>
            </w:r>
          </w:p>
        </w:tc>
        <w:tc>
          <w:tcPr>
            <w:tcW w:w="1701" w:type="dxa"/>
            <w:vMerge w:val="restart"/>
            <w:vAlign w:val="center"/>
          </w:tcPr>
          <w:p>
            <w:pPr>
              <w:widowControl/>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医疗服务</w:t>
            </w:r>
          </w:p>
        </w:tc>
        <w:tc>
          <w:tcPr>
            <w:tcW w:w="992" w:type="dxa"/>
            <w:vAlign w:val="center"/>
          </w:tcPr>
          <w:p>
            <w:pPr>
              <w:spacing w:line="360" w:lineRule="exact"/>
              <w:jc w:val="center"/>
              <w:rPr>
                <w:sz w:val="28"/>
                <w:szCs w:val="28"/>
              </w:rPr>
            </w:pPr>
            <w:r>
              <w:rPr>
                <w:rFonts w:hint="eastAsia"/>
                <w:sz w:val="28"/>
                <w:szCs w:val="28"/>
              </w:rPr>
              <w:t>1.1</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门诊诊疗服务</w:t>
            </w:r>
          </w:p>
        </w:tc>
        <w:tc>
          <w:tcPr>
            <w:tcW w:w="851" w:type="dxa"/>
            <w:vAlign w:val="center"/>
          </w:tcPr>
          <w:p>
            <w:pPr>
              <w:spacing w:line="360" w:lineRule="exact"/>
              <w:jc w:val="center"/>
              <w:rPr>
                <w:sz w:val="28"/>
                <w:szCs w:val="28"/>
              </w:rPr>
            </w:pPr>
            <w:r>
              <w:rPr>
                <w:rFonts w:hint="eastAsia"/>
                <w:sz w:val="28"/>
                <w:szCs w:val="2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1.2</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护理服务</w:t>
            </w:r>
          </w:p>
        </w:tc>
        <w:tc>
          <w:tcPr>
            <w:tcW w:w="851" w:type="dxa"/>
            <w:vAlign w:val="center"/>
          </w:tcPr>
          <w:p>
            <w:pPr>
              <w:spacing w:line="360" w:lineRule="exact"/>
              <w:jc w:val="center"/>
              <w:rPr>
                <w:sz w:val="28"/>
                <w:szCs w:val="28"/>
              </w:rPr>
            </w:pPr>
            <w:r>
              <w:rPr>
                <w:rFonts w:hint="eastAsia"/>
                <w:sz w:val="28"/>
                <w:szCs w:val="2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1.3</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复印、复制客观病历</w:t>
            </w:r>
          </w:p>
        </w:tc>
        <w:tc>
          <w:tcPr>
            <w:tcW w:w="851" w:type="dxa"/>
            <w:vAlign w:val="center"/>
          </w:tcPr>
          <w:p>
            <w:pPr>
              <w:spacing w:line="360" w:lineRule="exact"/>
              <w:jc w:val="center"/>
              <w:rPr>
                <w:sz w:val="28"/>
                <w:szCs w:val="28"/>
              </w:rPr>
            </w:pPr>
            <w:r>
              <w:rPr>
                <w:rFonts w:hint="eastAsia"/>
                <w:sz w:val="28"/>
                <w:szCs w:val="28"/>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1.4</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疾病应急救助基金申请</w:t>
            </w:r>
          </w:p>
        </w:tc>
        <w:tc>
          <w:tcPr>
            <w:tcW w:w="851" w:type="dxa"/>
            <w:vAlign w:val="center"/>
          </w:tcPr>
          <w:p>
            <w:pPr>
              <w:spacing w:line="360" w:lineRule="exact"/>
              <w:jc w:val="center"/>
              <w:rPr>
                <w:sz w:val="28"/>
                <w:szCs w:val="28"/>
              </w:rPr>
            </w:pPr>
            <w:r>
              <w:rPr>
                <w:rFonts w:hint="eastAsia"/>
                <w:sz w:val="28"/>
                <w:szCs w:val="28"/>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1.5</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公安、司法、人力资源社会保障、保险以及负责医疗事故技术鉴定的部门审核、查阅或者复制病历资料</w:t>
            </w:r>
          </w:p>
        </w:tc>
        <w:tc>
          <w:tcPr>
            <w:tcW w:w="851" w:type="dxa"/>
            <w:vAlign w:val="center"/>
          </w:tcPr>
          <w:p>
            <w:pPr>
              <w:spacing w:line="360" w:lineRule="exact"/>
              <w:jc w:val="center"/>
              <w:rPr>
                <w:sz w:val="28"/>
                <w:szCs w:val="28"/>
              </w:rPr>
            </w:pPr>
            <w:r>
              <w:rPr>
                <w:rFonts w:hint="eastAsia"/>
                <w:sz w:val="28"/>
                <w:szCs w:val="28"/>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1.6</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住院病历的封存和启封</w:t>
            </w:r>
          </w:p>
        </w:tc>
        <w:tc>
          <w:tcPr>
            <w:tcW w:w="851" w:type="dxa"/>
            <w:vAlign w:val="center"/>
          </w:tcPr>
          <w:p>
            <w:pPr>
              <w:spacing w:line="360" w:lineRule="exact"/>
              <w:jc w:val="center"/>
              <w:rPr>
                <w:sz w:val="28"/>
                <w:szCs w:val="28"/>
              </w:rPr>
            </w:pPr>
            <w:r>
              <w:rPr>
                <w:rFonts w:hint="eastAsia"/>
                <w:sz w:val="28"/>
                <w:szCs w:val="28"/>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1.7</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义诊</w:t>
            </w:r>
          </w:p>
        </w:tc>
        <w:tc>
          <w:tcPr>
            <w:tcW w:w="851" w:type="dxa"/>
            <w:vAlign w:val="center"/>
          </w:tcPr>
          <w:p>
            <w:pPr>
              <w:spacing w:line="360" w:lineRule="exact"/>
              <w:jc w:val="center"/>
              <w:rPr>
                <w:sz w:val="28"/>
                <w:szCs w:val="28"/>
              </w:rPr>
            </w:pPr>
            <w:r>
              <w:rPr>
                <w:rFonts w:hint="eastAsia"/>
                <w:sz w:val="28"/>
                <w:szCs w:val="28"/>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restart"/>
            <w:vAlign w:val="center"/>
          </w:tcPr>
          <w:p>
            <w:pPr>
              <w:jc w:val="center"/>
              <w:rPr>
                <w:sz w:val="28"/>
                <w:szCs w:val="28"/>
              </w:rPr>
            </w:pPr>
            <w:r>
              <w:rPr>
                <w:rFonts w:hint="eastAsia"/>
                <w:sz w:val="28"/>
                <w:szCs w:val="28"/>
              </w:rPr>
              <w:t>2</w:t>
            </w:r>
          </w:p>
        </w:tc>
        <w:tc>
          <w:tcPr>
            <w:tcW w:w="1701" w:type="dxa"/>
            <w:vMerge w:val="restart"/>
            <w:vAlign w:val="center"/>
          </w:tcPr>
          <w:p>
            <w:pPr>
              <w:widowControl/>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医疗统计</w:t>
            </w:r>
          </w:p>
        </w:tc>
        <w:tc>
          <w:tcPr>
            <w:tcW w:w="992" w:type="dxa"/>
            <w:vAlign w:val="center"/>
          </w:tcPr>
          <w:p>
            <w:pPr>
              <w:spacing w:line="360" w:lineRule="exact"/>
              <w:jc w:val="center"/>
              <w:rPr>
                <w:sz w:val="28"/>
                <w:szCs w:val="28"/>
              </w:rPr>
            </w:pPr>
            <w:r>
              <w:rPr>
                <w:rFonts w:hint="eastAsia"/>
                <w:sz w:val="28"/>
                <w:szCs w:val="28"/>
              </w:rPr>
              <w:t>2.1</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卫统表上报</w:t>
            </w:r>
          </w:p>
        </w:tc>
        <w:tc>
          <w:tcPr>
            <w:tcW w:w="851" w:type="dxa"/>
            <w:vAlign w:val="center"/>
          </w:tcPr>
          <w:p>
            <w:pPr>
              <w:spacing w:line="360" w:lineRule="exact"/>
              <w:jc w:val="center"/>
              <w:rPr>
                <w:sz w:val="28"/>
                <w:szCs w:val="28"/>
              </w:rPr>
            </w:pPr>
            <w:r>
              <w:rPr>
                <w:rFonts w:hint="eastAsia"/>
                <w:sz w:val="28"/>
                <w:szCs w:val="28"/>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vAlign w:val="center"/>
          </w:tcPr>
          <w:p>
            <w:pPr>
              <w:jc w:val="center"/>
              <w:rPr>
                <w:sz w:val="28"/>
                <w:szCs w:val="28"/>
              </w:rPr>
            </w:pPr>
          </w:p>
        </w:tc>
        <w:tc>
          <w:tcPr>
            <w:tcW w:w="1701" w:type="dxa"/>
            <w:vMerge w:val="continue"/>
            <w:vAlign w:val="center"/>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2.2</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各项监测报表统计上报</w:t>
            </w:r>
          </w:p>
        </w:tc>
        <w:tc>
          <w:tcPr>
            <w:tcW w:w="851" w:type="dxa"/>
            <w:vAlign w:val="center"/>
          </w:tcPr>
          <w:p>
            <w:pPr>
              <w:spacing w:line="360" w:lineRule="exact"/>
              <w:jc w:val="center"/>
              <w:rPr>
                <w:sz w:val="28"/>
                <w:szCs w:val="28"/>
              </w:rPr>
            </w:pPr>
            <w:r>
              <w:rPr>
                <w:rFonts w:hint="eastAsia"/>
                <w:sz w:val="28"/>
                <w:szCs w:val="28"/>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restart"/>
            <w:vAlign w:val="center"/>
          </w:tcPr>
          <w:p>
            <w:pPr>
              <w:jc w:val="center"/>
              <w:rPr>
                <w:sz w:val="28"/>
                <w:szCs w:val="28"/>
              </w:rPr>
            </w:pPr>
            <w:r>
              <w:rPr>
                <w:rFonts w:hint="eastAsia"/>
                <w:sz w:val="28"/>
                <w:szCs w:val="28"/>
              </w:rPr>
              <w:t>3</w:t>
            </w:r>
          </w:p>
        </w:tc>
        <w:tc>
          <w:tcPr>
            <w:tcW w:w="1701" w:type="dxa"/>
            <w:vMerge w:val="restart"/>
            <w:vAlign w:val="center"/>
          </w:tcPr>
          <w:p>
            <w:pPr>
              <w:widowControl/>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卫生技术人员教育与科研管理</w:t>
            </w:r>
          </w:p>
        </w:tc>
        <w:tc>
          <w:tcPr>
            <w:tcW w:w="992" w:type="dxa"/>
            <w:vAlign w:val="center"/>
          </w:tcPr>
          <w:p>
            <w:pPr>
              <w:spacing w:line="360" w:lineRule="exact"/>
              <w:jc w:val="center"/>
              <w:rPr>
                <w:sz w:val="28"/>
                <w:szCs w:val="28"/>
              </w:rPr>
            </w:pPr>
            <w:r>
              <w:rPr>
                <w:rFonts w:hint="eastAsia"/>
                <w:sz w:val="28"/>
                <w:szCs w:val="28"/>
              </w:rPr>
              <w:t>3.1</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人员培训进修</w:t>
            </w:r>
          </w:p>
        </w:tc>
        <w:tc>
          <w:tcPr>
            <w:tcW w:w="851" w:type="dxa"/>
            <w:vAlign w:val="center"/>
          </w:tcPr>
          <w:p>
            <w:pPr>
              <w:spacing w:line="360" w:lineRule="exact"/>
              <w:jc w:val="center"/>
              <w:rPr>
                <w:sz w:val="28"/>
                <w:szCs w:val="28"/>
              </w:rPr>
            </w:pPr>
            <w:r>
              <w:rPr>
                <w:rFonts w:hint="eastAsia"/>
                <w:sz w:val="28"/>
                <w:szCs w:val="28"/>
              </w:rPr>
              <w:t>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3.2</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卫生技术人员继续教育</w:t>
            </w:r>
          </w:p>
        </w:tc>
        <w:tc>
          <w:tcPr>
            <w:tcW w:w="851" w:type="dxa"/>
            <w:vAlign w:val="center"/>
          </w:tcPr>
          <w:p>
            <w:pPr>
              <w:spacing w:line="360" w:lineRule="exact"/>
              <w:jc w:val="center"/>
              <w:rPr>
                <w:sz w:val="28"/>
                <w:szCs w:val="28"/>
              </w:rPr>
            </w:pPr>
            <w:r>
              <w:rPr>
                <w:rFonts w:hint="eastAsia"/>
                <w:sz w:val="28"/>
                <w:szCs w:val="28"/>
              </w:rPr>
              <w:t>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3.3</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实习医生管理</w:t>
            </w:r>
          </w:p>
        </w:tc>
        <w:tc>
          <w:tcPr>
            <w:tcW w:w="851" w:type="dxa"/>
            <w:vAlign w:val="center"/>
          </w:tcPr>
          <w:p>
            <w:pPr>
              <w:spacing w:line="360" w:lineRule="exact"/>
              <w:jc w:val="center"/>
              <w:rPr>
                <w:sz w:val="28"/>
                <w:szCs w:val="28"/>
              </w:rPr>
            </w:pPr>
            <w:r>
              <w:rPr>
                <w:rFonts w:hint="eastAsia"/>
                <w:sz w:val="28"/>
                <w:szCs w:val="28"/>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3.4</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进修医师管理</w:t>
            </w:r>
          </w:p>
        </w:tc>
        <w:tc>
          <w:tcPr>
            <w:tcW w:w="851" w:type="dxa"/>
            <w:vAlign w:val="center"/>
          </w:tcPr>
          <w:p>
            <w:pPr>
              <w:spacing w:line="360" w:lineRule="exact"/>
              <w:jc w:val="center"/>
              <w:rPr>
                <w:sz w:val="28"/>
                <w:szCs w:val="28"/>
              </w:rPr>
            </w:pPr>
            <w:r>
              <w:rPr>
                <w:rFonts w:hint="eastAsia"/>
                <w:sz w:val="28"/>
                <w:szCs w:val="28"/>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restart"/>
            <w:vAlign w:val="center"/>
          </w:tcPr>
          <w:p>
            <w:pPr>
              <w:jc w:val="center"/>
              <w:rPr>
                <w:sz w:val="28"/>
                <w:szCs w:val="28"/>
              </w:rPr>
            </w:pPr>
            <w:r>
              <w:rPr>
                <w:rFonts w:hint="eastAsia"/>
                <w:sz w:val="28"/>
                <w:szCs w:val="28"/>
              </w:rPr>
              <w:t>4</w:t>
            </w:r>
          </w:p>
        </w:tc>
        <w:tc>
          <w:tcPr>
            <w:tcW w:w="1701" w:type="dxa"/>
            <w:vMerge w:val="restart"/>
            <w:vAlign w:val="center"/>
          </w:tcPr>
          <w:p>
            <w:pPr>
              <w:widowControl/>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开具证明</w:t>
            </w:r>
          </w:p>
        </w:tc>
        <w:tc>
          <w:tcPr>
            <w:tcW w:w="992" w:type="dxa"/>
            <w:vAlign w:val="center"/>
          </w:tcPr>
          <w:p>
            <w:pPr>
              <w:spacing w:line="360" w:lineRule="exact"/>
              <w:jc w:val="center"/>
              <w:rPr>
                <w:sz w:val="28"/>
                <w:szCs w:val="28"/>
              </w:rPr>
            </w:pPr>
            <w:r>
              <w:rPr>
                <w:rFonts w:hint="eastAsia"/>
                <w:sz w:val="28"/>
                <w:szCs w:val="28"/>
              </w:rPr>
              <w:t>4.1</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开具医学诊断证明</w:t>
            </w:r>
          </w:p>
        </w:tc>
        <w:tc>
          <w:tcPr>
            <w:tcW w:w="851" w:type="dxa"/>
            <w:vAlign w:val="center"/>
          </w:tcPr>
          <w:p>
            <w:pPr>
              <w:spacing w:line="360" w:lineRule="exact"/>
              <w:jc w:val="center"/>
              <w:rPr>
                <w:sz w:val="28"/>
                <w:szCs w:val="28"/>
              </w:rPr>
            </w:pPr>
            <w:r>
              <w:rPr>
                <w:rFonts w:hint="eastAsia"/>
                <w:sz w:val="28"/>
                <w:szCs w:val="28"/>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4.2</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开具医学出生证明</w:t>
            </w:r>
          </w:p>
        </w:tc>
        <w:tc>
          <w:tcPr>
            <w:tcW w:w="851" w:type="dxa"/>
            <w:vAlign w:val="center"/>
          </w:tcPr>
          <w:p>
            <w:pPr>
              <w:spacing w:line="360" w:lineRule="exact"/>
              <w:jc w:val="center"/>
              <w:rPr>
                <w:sz w:val="28"/>
                <w:szCs w:val="28"/>
              </w:rPr>
            </w:pPr>
            <w:r>
              <w:rPr>
                <w:rFonts w:hint="eastAsia"/>
                <w:sz w:val="28"/>
                <w:szCs w:val="28"/>
              </w:rPr>
              <w:t>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4.3</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开具居民死亡医学证明（推断）书</w:t>
            </w:r>
          </w:p>
        </w:tc>
        <w:tc>
          <w:tcPr>
            <w:tcW w:w="851" w:type="dxa"/>
            <w:vAlign w:val="center"/>
          </w:tcPr>
          <w:p>
            <w:pPr>
              <w:spacing w:line="360" w:lineRule="exact"/>
              <w:jc w:val="center"/>
              <w:rPr>
                <w:sz w:val="28"/>
                <w:szCs w:val="28"/>
              </w:rPr>
            </w:pPr>
            <w:r>
              <w:rPr>
                <w:rFonts w:hint="eastAsia"/>
                <w:sz w:val="28"/>
                <w:szCs w:val="28"/>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restart"/>
            <w:vAlign w:val="center"/>
          </w:tcPr>
          <w:p>
            <w:pPr>
              <w:jc w:val="center"/>
              <w:rPr>
                <w:sz w:val="28"/>
                <w:szCs w:val="28"/>
              </w:rPr>
            </w:pPr>
            <w:r>
              <w:rPr>
                <w:rFonts w:hint="eastAsia"/>
                <w:sz w:val="28"/>
                <w:szCs w:val="28"/>
              </w:rPr>
              <w:t>5</w:t>
            </w:r>
          </w:p>
        </w:tc>
        <w:tc>
          <w:tcPr>
            <w:tcW w:w="1701" w:type="dxa"/>
            <w:vMerge w:val="restart"/>
            <w:vAlign w:val="center"/>
          </w:tcPr>
          <w:p>
            <w:pPr>
              <w:widowControl/>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医疗保险</w:t>
            </w:r>
          </w:p>
        </w:tc>
        <w:tc>
          <w:tcPr>
            <w:tcW w:w="992" w:type="dxa"/>
            <w:vAlign w:val="center"/>
          </w:tcPr>
          <w:p>
            <w:pPr>
              <w:spacing w:line="360" w:lineRule="exact"/>
              <w:jc w:val="center"/>
              <w:rPr>
                <w:sz w:val="28"/>
                <w:szCs w:val="28"/>
              </w:rPr>
            </w:pPr>
            <w:r>
              <w:rPr>
                <w:rFonts w:hint="eastAsia"/>
                <w:sz w:val="28"/>
                <w:szCs w:val="28"/>
              </w:rPr>
              <w:t>5.1</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医保患者结算</w:t>
            </w:r>
          </w:p>
        </w:tc>
        <w:tc>
          <w:tcPr>
            <w:tcW w:w="851" w:type="dxa"/>
            <w:vAlign w:val="center"/>
          </w:tcPr>
          <w:p>
            <w:pPr>
              <w:spacing w:line="360" w:lineRule="exact"/>
              <w:jc w:val="center"/>
              <w:rPr>
                <w:sz w:val="28"/>
                <w:szCs w:val="28"/>
              </w:rPr>
            </w:pPr>
            <w:r>
              <w:rPr>
                <w:rFonts w:hint="eastAsia"/>
                <w:sz w:val="28"/>
                <w:szCs w:val="28"/>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spacing w:line="360" w:lineRule="exact"/>
              <w:jc w:val="center"/>
              <w:rPr>
                <w:sz w:val="28"/>
                <w:szCs w:val="28"/>
              </w:rPr>
            </w:pPr>
          </w:p>
        </w:tc>
        <w:tc>
          <w:tcPr>
            <w:tcW w:w="992" w:type="dxa"/>
            <w:vAlign w:val="center"/>
          </w:tcPr>
          <w:p>
            <w:pPr>
              <w:spacing w:line="360" w:lineRule="exact"/>
              <w:jc w:val="center"/>
              <w:rPr>
                <w:sz w:val="28"/>
                <w:szCs w:val="28"/>
              </w:rPr>
            </w:pPr>
            <w:r>
              <w:rPr>
                <w:rFonts w:hint="eastAsia"/>
                <w:sz w:val="28"/>
                <w:szCs w:val="28"/>
              </w:rPr>
              <w:t>5.2</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城乡门诊登记</w:t>
            </w:r>
          </w:p>
        </w:tc>
        <w:tc>
          <w:tcPr>
            <w:tcW w:w="851" w:type="dxa"/>
            <w:vAlign w:val="center"/>
          </w:tcPr>
          <w:p>
            <w:pPr>
              <w:spacing w:line="360" w:lineRule="exact"/>
              <w:jc w:val="center"/>
              <w:rPr>
                <w:sz w:val="28"/>
                <w:szCs w:val="28"/>
              </w:rPr>
            </w:pPr>
            <w:r>
              <w:rPr>
                <w:rFonts w:hint="eastAsia"/>
                <w:sz w:val="28"/>
                <w:szCs w:val="28"/>
              </w:rPr>
              <w:t>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spacing w:line="360" w:lineRule="exact"/>
              <w:jc w:val="center"/>
              <w:rPr>
                <w:sz w:val="28"/>
                <w:szCs w:val="28"/>
              </w:rPr>
            </w:pPr>
          </w:p>
        </w:tc>
        <w:tc>
          <w:tcPr>
            <w:tcW w:w="992" w:type="dxa"/>
            <w:vAlign w:val="center"/>
          </w:tcPr>
          <w:p>
            <w:pPr>
              <w:spacing w:line="360" w:lineRule="exact"/>
              <w:jc w:val="center"/>
              <w:rPr>
                <w:sz w:val="28"/>
                <w:szCs w:val="28"/>
              </w:rPr>
            </w:pPr>
            <w:r>
              <w:rPr>
                <w:rFonts w:hint="eastAsia"/>
                <w:sz w:val="28"/>
                <w:szCs w:val="28"/>
              </w:rPr>
              <w:t>5.3</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参保人员住院医保审核单和转诊转院</w:t>
            </w:r>
          </w:p>
        </w:tc>
        <w:tc>
          <w:tcPr>
            <w:tcW w:w="851" w:type="dxa"/>
            <w:vAlign w:val="center"/>
          </w:tcPr>
          <w:p>
            <w:pPr>
              <w:spacing w:line="360" w:lineRule="exact"/>
              <w:jc w:val="center"/>
              <w:rPr>
                <w:sz w:val="28"/>
                <w:szCs w:val="28"/>
              </w:rPr>
            </w:pPr>
            <w:r>
              <w:rPr>
                <w:rFonts w:hint="eastAsia"/>
                <w:sz w:val="28"/>
                <w:szCs w:val="28"/>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spacing w:line="360" w:lineRule="exact"/>
              <w:jc w:val="center"/>
              <w:rPr>
                <w:sz w:val="28"/>
                <w:szCs w:val="28"/>
              </w:rPr>
            </w:pPr>
          </w:p>
        </w:tc>
        <w:tc>
          <w:tcPr>
            <w:tcW w:w="992" w:type="dxa"/>
            <w:vAlign w:val="center"/>
          </w:tcPr>
          <w:p>
            <w:pPr>
              <w:spacing w:line="360" w:lineRule="exact"/>
              <w:jc w:val="center"/>
              <w:rPr>
                <w:sz w:val="28"/>
                <w:szCs w:val="28"/>
              </w:rPr>
            </w:pPr>
            <w:r>
              <w:rPr>
                <w:rFonts w:hint="eastAsia"/>
                <w:sz w:val="28"/>
                <w:szCs w:val="28"/>
              </w:rPr>
              <w:t>5.4</w:t>
            </w:r>
          </w:p>
        </w:tc>
        <w:tc>
          <w:tcPr>
            <w:tcW w:w="4961" w:type="dxa"/>
            <w:vAlign w:val="center"/>
          </w:tcPr>
          <w:p>
            <w:pPr>
              <w:widowControl/>
              <w:spacing w:line="480" w:lineRule="exact"/>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异地医保联网结算</w:t>
            </w:r>
          </w:p>
        </w:tc>
        <w:tc>
          <w:tcPr>
            <w:tcW w:w="851" w:type="dxa"/>
            <w:vAlign w:val="center"/>
          </w:tcPr>
          <w:p>
            <w:pPr>
              <w:spacing w:line="360" w:lineRule="exact"/>
              <w:jc w:val="center"/>
              <w:rPr>
                <w:sz w:val="28"/>
                <w:szCs w:val="28"/>
              </w:rPr>
            </w:pPr>
            <w:r>
              <w:rPr>
                <w:rFonts w:hint="eastAsia"/>
                <w:sz w:val="28"/>
                <w:szCs w:val="28"/>
              </w:rPr>
              <w:t>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spacing w:line="360" w:lineRule="exact"/>
              <w:jc w:val="center"/>
              <w:rPr>
                <w:sz w:val="28"/>
                <w:szCs w:val="28"/>
              </w:rPr>
            </w:pPr>
          </w:p>
        </w:tc>
        <w:tc>
          <w:tcPr>
            <w:tcW w:w="992" w:type="dxa"/>
            <w:vAlign w:val="center"/>
          </w:tcPr>
          <w:p>
            <w:pPr>
              <w:spacing w:line="360" w:lineRule="exact"/>
              <w:jc w:val="center"/>
              <w:rPr>
                <w:sz w:val="28"/>
                <w:szCs w:val="28"/>
              </w:rPr>
            </w:pPr>
            <w:r>
              <w:rPr>
                <w:rFonts w:hint="eastAsia"/>
                <w:sz w:val="28"/>
                <w:szCs w:val="28"/>
              </w:rPr>
              <w:t>5.5</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门特登记</w:t>
            </w:r>
          </w:p>
        </w:tc>
        <w:tc>
          <w:tcPr>
            <w:tcW w:w="851" w:type="dxa"/>
            <w:vAlign w:val="center"/>
          </w:tcPr>
          <w:p>
            <w:pPr>
              <w:spacing w:line="360" w:lineRule="exact"/>
              <w:jc w:val="center"/>
              <w:rPr>
                <w:sz w:val="28"/>
                <w:szCs w:val="28"/>
              </w:rPr>
            </w:pPr>
            <w:r>
              <w:rPr>
                <w:rFonts w:hint="eastAsia"/>
                <w:sz w:val="28"/>
                <w:szCs w:val="28"/>
              </w:rPr>
              <w:t>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restart"/>
            <w:vAlign w:val="center"/>
          </w:tcPr>
          <w:p>
            <w:pPr>
              <w:jc w:val="center"/>
              <w:rPr>
                <w:sz w:val="28"/>
                <w:szCs w:val="28"/>
              </w:rPr>
            </w:pPr>
            <w:r>
              <w:rPr>
                <w:rFonts w:hint="eastAsia"/>
                <w:sz w:val="28"/>
                <w:szCs w:val="28"/>
              </w:rPr>
              <w:t>6</w:t>
            </w:r>
          </w:p>
        </w:tc>
        <w:tc>
          <w:tcPr>
            <w:tcW w:w="1701" w:type="dxa"/>
            <w:vMerge w:val="restart"/>
            <w:vAlign w:val="center"/>
          </w:tcPr>
          <w:p>
            <w:pPr>
              <w:widowControl/>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物品采购及报废</w:t>
            </w:r>
          </w:p>
        </w:tc>
        <w:tc>
          <w:tcPr>
            <w:tcW w:w="992" w:type="dxa"/>
            <w:vAlign w:val="center"/>
          </w:tcPr>
          <w:p>
            <w:pPr>
              <w:spacing w:line="360" w:lineRule="exact"/>
              <w:jc w:val="center"/>
              <w:rPr>
                <w:sz w:val="28"/>
                <w:szCs w:val="28"/>
              </w:rPr>
            </w:pPr>
            <w:r>
              <w:rPr>
                <w:rFonts w:hint="eastAsia"/>
                <w:sz w:val="28"/>
                <w:szCs w:val="28"/>
              </w:rPr>
              <w:t>6.1</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药品采购管理</w:t>
            </w:r>
          </w:p>
        </w:tc>
        <w:tc>
          <w:tcPr>
            <w:tcW w:w="851" w:type="dxa"/>
            <w:vAlign w:val="center"/>
          </w:tcPr>
          <w:p>
            <w:pPr>
              <w:spacing w:line="360" w:lineRule="exact"/>
              <w:jc w:val="center"/>
              <w:rPr>
                <w:sz w:val="28"/>
                <w:szCs w:val="28"/>
              </w:rPr>
            </w:pPr>
            <w:r>
              <w:rPr>
                <w:rFonts w:hint="eastAsia"/>
                <w:sz w:val="28"/>
                <w:szCs w:val="28"/>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6.2</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医疗设备采购管理</w:t>
            </w:r>
          </w:p>
        </w:tc>
        <w:tc>
          <w:tcPr>
            <w:tcW w:w="851" w:type="dxa"/>
            <w:vAlign w:val="center"/>
          </w:tcPr>
          <w:p>
            <w:pPr>
              <w:spacing w:line="360" w:lineRule="exact"/>
              <w:jc w:val="center"/>
              <w:rPr>
                <w:sz w:val="28"/>
                <w:szCs w:val="28"/>
              </w:rPr>
            </w:pPr>
            <w:r>
              <w:rPr>
                <w:rFonts w:hint="eastAsia"/>
                <w:sz w:val="28"/>
                <w:szCs w:val="28"/>
              </w:rPr>
              <w:t>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6.3</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非医疗设备采购管理</w:t>
            </w:r>
          </w:p>
        </w:tc>
        <w:tc>
          <w:tcPr>
            <w:tcW w:w="851" w:type="dxa"/>
            <w:vAlign w:val="center"/>
          </w:tcPr>
          <w:p>
            <w:pPr>
              <w:spacing w:line="360" w:lineRule="exact"/>
              <w:jc w:val="center"/>
              <w:rPr>
                <w:sz w:val="28"/>
                <w:szCs w:val="28"/>
              </w:rPr>
            </w:pPr>
            <w:r>
              <w:rPr>
                <w:rFonts w:hint="eastAsia"/>
                <w:sz w:val="28"/>
                <w:szCs w:val="28"/>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6.4</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医疗设备报废管理</w:t>
            </w:r>
          </w:p>
        </w:tc>
        <w:tc>
          <w:tcPr>
            <w:tcW w:w="851" w:type="dxa"/>
            <w:vAlign w:val="center"/>
          </w:tcPr>
          <w:p>
            <w:pPr>
              <w:spacing w:line="360" w:lineRule="exact"/>
              <w:jc w:val="center"/>
              <w:rPr>
                <w:sz w:val="28"/>
                <w:szCs w:val="28"/>
              </w:rPr>
            </w:pPr>
            <w:r>
              <w:rPr>
                <w:rFonts w:hint="eastAsia"/>
                <w:sz w:val="28"/>
                <w:szCs w:val="28"/>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6.5</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非医疗设备报废管理</w:t>
            </w:r>
          </w:p>
        </w:tc>
        <w:tc>
          <w:tcPr>
            <w:tcW w:w="851" w:type="dxa"/>
            <w:vAlign w:val="center"/>
          </w:tcPr>
          <w:p>
            <w:pPr>
              <w:spacing w:line="360" w:lineRule="exact"/>
              <w:jc w:val="center"/>
              <w:rPr>
                <w:sz w:val="28"/>
                <w:szCs w:val="28"/>
              </w:rPr>
            </w:pPr>
            <w:r>
              <w:rPr>
                <w:rFonts w:hint="eastAsia"/>
                <w:sz w:val="28"/>
                <w:szCs w:val="28"/>
              </w:rPr>
              <w:t>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Align w:val="center"/>
          </w:tcPr>
          <w:p>
            <w:pPr>
              <w:jc w:val="center"/>
              <w:rPr>
                <w:sz w:val="28"/>
                <w:szCs w:val="28"/>
              </w:rPr>
            </w:pPr>
            <w:r>
              <w:rPr>
                <w:rFonts w:hint="eastAsia"/>
                <w:sz w:val="28"/>
                <w:szCs w:val="28"/>
              </w:rPr>
              <w:t>7</w:t>
            </w:r>
          </w:p>
        </w:tc>
        <w:tc>
          <w:tcPr>
            <w:tcW w:w="1701" w:type="dxa"/>
            <w:vAlign w:val="center"/>
          </w:tcPr>
          <w:p>
            <w:pPr>
              <w:widowControl/>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院务公开</w:t>
            </w:r>
          </w:p>
        </w:tc>
        <w:tc>
          <w:tcPr>
            <w:tcW w:w="992" w:type="dxa"/>
            <w:vAlign w:val="center"/>
          </w:tcPr>
          <w:p>
            <w:pPr>
              <w:spacing w:line="360" w:lineRule="exact"/>
              <w:jc w:val="center"/>
              <w:rPr>
                <w:sz w:val="28"/>
                <w:szCs w:val="28"/>
              </w:rPr>
            </w:pPr>
            <w:r>
              <w:rPr>
                <w:rFonts w:hint="eastAsia"/>
                <w:sz w:val="28"/>
                <w:szCs w:val="28"/>
              </w:rPr>
              <w:t>7.1</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院务公开管理</w:t>
            </w:r>
          </w:p>
        </w:tc>
        <w:tc>
          <w:tcPr>
            <w:tcW w:w="851" w:type="dxa"/>
            <w:vAlign w:val="center"/>
          </w:tcPr>
          <w:p>
            <w:pPr>
              <w:spacing w:line="360" w:lineRule="exact"/>
              <w:jc w:val="center"/>
              <w:rPr>
                <w:sz w:val="28"/>
                <w:szCs w:val="28"/>
              </w:rPr>
            </w:pPr>
            <w:r>
              <w:rPr>
                <w:rFonts w:hint="eastAsia"/>
                <w:sz w:val="28"/>
                <w:szCs w:val="28"/>
              </w:rPr>
              <w:t>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Align w:val="center"/>
          </w:tcPr>
          <w:p>
            <w:pPr>
              <w:jc w:val="center"/>
              <w:rPr>
                <w:sz w:val="28"/>
                <w:szCs w:val="28"/>
              </w:rPr>
            </w:pPr>
            <w:r>
              <w:rPr>
                <w:rFonts w:hint="eastAsia"/>
                <w:sz w:val="28"/>
                <w:szCs w:val="28"/>
              </w:rPr>
              <w:t>8</w:t>
            </w:r>
          </w:p>
        </w:tc>
        <w:tc>
          <w:tcPr>
            <w:tcW w:w="1701" w:type="dxa"/>
            <w:vAlign w:val="center"/>
          </w:tcPr>
          <w:p>
            <w:pPr>
              <w:widowControl/>
              <w:spacing w:line="560" w:lineRule="exact"/>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突发事件的应急管理</w:t>
            </w:r>
          </w:p>
        </w:tc>
        <w:tc>
          <w:tcPr>
            <w:tcW w:w="992" w:type="dxa"/>
            <w:vAlign w:val="center"/>
          </w:tcPr>
          <w:p>
            <w:pPr>
              <w:spacing w:line="360" w:lineRule="exact"/>
              <w:jc w:val="center"/>
              <w:rPr>
                <w:sz w:val="28"/>
                <w:szCs w:val="28"/>
              </w:rPr>
            </w:pPr>
            <w:r>
              <w:rPr>
                <w:rFonts w:hint="eastAsia"/>
                <w:sz w:val="28"/>
                <w:szCs w:val="28"/>
              </w:rPr>
              <w:t>8.1</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突发事件的应急管理</w:t>
            </w:r>
          </w:p>
        </w:tc>
        <w:tc>
          <w:tcPr>
            <w:tcW w:w="851" w:type="dxa"/>
            <w:vAlign w:val="center"/>
          </w:tcPr>
          <w:p>
            <w:pPr>
              <w:spacing w:line="360" w:lineRule="exact"/>
              <w:jc w:val="center"/>
              <w:rPr>
                <w:sz w:val="28"/>
                <w:szCs w:val="28"/>
              </w:rPr>
            </w:pPr>
            <w:r>
              <w:rPr>
                <w:rFonts w:hint="eastAsia"/>
                <w:sz w:val="28"/>
                <w:szCs w:val="28"/>
              </w:rPr>
              <w:t>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restart"/>
            <w:vAlign w:val="center"/>
          </w:tcPr>
          <w:p>
            <w:pPr>
              <w:jc w:val="center"/>
              <w:rPr>
                <w:sz w:val="28"/>
                <w:szCs w:val="28"/>
              </w:rPr>
            </w:pPr>
            <w:r>
              <w:rPr>
                <w:rFonts w:hint="eastAsia"/>
                <w:sz w:val="28"/>
                <w:szCs w:val="28"/>
              </w:rPr>
              <w:t>9</w:t>
            </w:r>
          </w:p>
        </w:tc>
        <w:tc>
          <w:tcPr>
            <w:tcW w:w="1701" w:type="dxa"/>
            <w:vMerge w:val="restart"/>
            <w:vAlign w:val="center"/>
          </w:tcPr>
          <w:p>
            <w:pPr>
              <w:widowControl/>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公共卫生管理</w:t>
            </w:r>
          </w:p>
        </w:tc>
        <w:tc>
          <w:tcPr>
            <w:tcW w:w="992" w:type="dxa"/>
            <w:vAlign w:val="center"/>
          </w:tcPr>
          <w:p>
            <w:pPr>
              <w:spacing w:line="360" w:lineRule="exact"/>
              <w:jc w:val="center"/>
              <w:rPr>
                <w:sz w:val="28"/>
                <w:szCs w:val="28"/>
              </w:rPr>
            </w:pPr>
            <w:r>
              <w:rPr>
                <w:rFonts w:hint="eastAsia"/>
                <w:sz w:val="28"/>
                <w:szCs w:val="28"/>
              </w:rPr>
              <w:t>9.1</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传染病疫情报告</w:t>
            </w:r>
          </w:p>
        </w:tc>
        <w:tc>
          <w:tcPr>
            <w:tcW w:w="851" w:type="dxa"/>
            <w:vAlign w:val="center"/>
          </w:tcPr>
          <w:p>
            <w:pPr>
              <w:spacing w:line="360" w:lineRule="exact"/>
              <w:jc w:val="center"/>
              <w:rPr>
                <w:sz w:val="28"/>
                <w:szCs w:val="28"/>
              </w:rPr>
            </w:pPr>
            <w:r>
              <w:rPr>
                <w:rFonts w:hint="eastAsia"/>
                <w:sz w:val="28"/>
                <w:szCs w:val="28"/>
              </w:rPr>
              <w:t>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9.2</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宣传和教育</w:t>
            </w:r>
          </w:p>
        </w:tc>
        <w:tc>
          <w:tcPr>
            <w:tcW w:w="851" w:type="dxa"/>
            <w:vAlign w:val="center"/>
          </w:tcPr>
          <w:p>
            <w:pPr>
              <w:spacing w:line="360" w:lineRule="exact"/>
              <w:jc w:val="center"/>
              <w:rPr>
                <w:sz w:val="28"/>
                <w:szCs w:val="28"/>
              </w:rPr>
            </w:pPr>
            <w:r>
              <w:rPr>
                <w:rFonts w:hint="eastAsia"/>
                <w:sz w:val="28"/>
                <w:szCs w:val="28"/>
              </w:rPr>
              <w:t>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9.3</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控烟巡查劝阻和宣教</w:t>
            </w:r>
          </w:p>
        </w:tc>
        <w:tc>
          <w:tcPr>
            <w:tcW w:w="851" w:type="dxa"/>
            <w:vAlign w:val="center"/>
          </w:tcPr>
          <w:p>
            <w:pPr>
              <w:spacing w:line="360" w:lineRule="exact"/>
              <w:jc w:val="center"/>
              <w:rPr>
                <w:sz w:val="28"/>
                <w:szCs w:val="28"/>
              </w:rPr>
            </w:pPr>
            <w:r>
              <w:rPr>
                <w:rFonts w:hint="eastAsia"/>
                <w:sz w:val="28"/>
                <w:szCs w:val="28"/>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Align w:val="center"/>
          </w:tcPr>
          <w:p>
            <w:pPr>
              <w:jc w:val="center"/>
              <w:rPr>
                <w:sz w:val="28"/>
                <w:szCs w:val="28"/>
              </w:rPr>
            </w:pPr>
            <w:r>
              <w:rPr>
                <w:rFonts w:hint="eastAsia"/>
                <w:sz w:val="28"/>
                <w:szCs w:val="28"/>
              </w:rPr>
              <w:t>10</w:t>
            </w:r>
          </w:p>
        </w:tc>
        <w:tc>
          <w:tcPr>
            <w:tcW w:w="1701" w:type="dxa"/>
            <w:vAlign w:val="center"/>
          </w:tcPr>
          <w:p>
            <w:pPr>
              <w:widowControl/>
              <w:spacing w:line="560" w:lineRule="exact"/>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医院感染管理</w:t>
            </w:r>
          </w:p>
        </w:tc>
        <w:tc>
          <w:tcPr>
            <w:tcW w:w="992" w:type="dxa"/>
            <w:vAlign w:val="center"/>
          </w:tcPr>
          <w:p>
            <w:pPr>
              <w:spacing w:line="360" w:lineRule="exact"/>
              <w:jc w:val="center"/>
              <w:rPr>
                <w:sz w:val="28"/>
                <w:szCs w:val="28"/>
              </w:rPr>
            </w:pPr>
            <w:r>
              <w:rPr>
                <w:rFonts w:hint="eastAsia"/>
                <w:sz w:val="28"/>
                <w:szCs w:val="28"/>
              </w:rPr>
              <w:t>10.1</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医院感染管理</w:t>
            </w:r>
          </w:p>
        </w:tc>
        <w:tc>
          <w:tcPr>
            <w:tcW w:w="851" w:type="dxa"/>
            <w:vAlign w:val="center"/>
          </w:tcPr>
          <w:p>
            <w:pPr>
              <w:spacing w:line="360" w:lineRule="exact"/>
              <w:jc w:val="center"/>
              <w:rPr>
                <w:sz w:val="28"/>
                <w:szCs w:val="28"/>
              </w:rPr>
            </w:pPr>
            <w:r>
              <w:rPr>
                <w:rFonts w:hint="eastAsia"/>
                <w:sz w:val="28"/>
                <w:szCs w:val="28"/>
              </w:rPr>
              <w:t>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restart"/>
            <w:vAlign w:val="center"/>
          </w:tcPr>
          <w:p>
            <w:pPr>
              <w:jc w:val="center"/>
              <w:rPr>
                <w:sz w:val="28"/>
                <w:szCs w:val="28"/>
              </w:rPr>
            </w:pPr>
            <w:r>
              <w:rPr>
                <w:rFonts w:hint="eastAsia"/>
                <w:sz w:val="28"/>
                <w:szCs w:val="28"/>
              </w:rPr>
              <w:t>11</w:t>
            </w:r>
          </w:p>
        </w:tc>
        <w:tc>
          <w:tcPr>
            <w:tcW w:w="1701" w:type="dxa"/>
            <w:vMerge w:val="restart"/>
            <w:vAlign w:val="center"/>
          </w:tcPr>
          <w:p>
            <w:pPr>
              <w:widowControl/>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安全管理</w:t>
            </w:r>
          </w:p>
        </w:tc>
        <w:tc>
          <w:tcPr>
            <w:tcW w:w="992" w:type="dxa"/>
            <w:vAlign w:val="center"/>
          </w:tcPr>
          <w:p>
            <w:pPr>
              <w:spacing w:line="360" w:lineRule="exact"/>
              <w:jc w:val="center"/>
              <w:rPr>
                <w:sz w:val="28"/>
                <w:szCs w:val="28"/>
              </w:rPr>
            </w:pPr>
            <w:r>
              <w:rPr>
                <w:rFonts w:hint="eastAsia"/>
                <w:sz w:val="28"/>
                <w:szCs w:val="28"/>
              </w:rPr>
              <w:t>11.1</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安全生产管理</w:t>
            </w:r>
          </w:p>
        </w:tc>
        <w:tc>
          <w:tcPr>
            <w:tcW w:w="851" w:type="dxa"/>
            <w:vAlign w:val="center"/>
          </w:tcPr>
          <w:p>
            <w:pPr>
              <w:spacing w:line="360" w:lineRule="exact"/>
              <w:jc w:val="center"/>
              <w:rPr>
                <w:sz w:val="28"/>
                <w:szCs w:val="28"/>
              </w:rPr>
            </w:pPr>
            <w:r>
              <w:rPr>
                <w:rFonts w:hint="eastAsia"/>
                <w:sz w:val="28"/>
                <w:szCs w:val="28"/>
              </w:rPr>
              <w:t>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11.2</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消防安全管理</w:t>
            </w:r>
          </w:p>
        </w:tc>
        <w:tc>
          <w:tcPr>
            <w:tcW w:w="851" w:type="dxa"/>
            <w:vAlign w:val="center"/>
          </w:tcPr>
          <w:p>
            <w:pPr>
              <w:spacing w:line="360" w:lineRule="exact"/>
              <w:jc w:val="center"/>
              <w:rPr>
                <w:sz w:val="28"/>
                <w:szCs w:val="28"/>
              </w:rPr>
            </w:pPr>
            <w:r>
              <w:rPr>
                <w:rFonts w:hint="eastAsia"/>
                <w:sz w:val="28"/>
                <w:szCs w:val="28"/>
              </w:rPr>
              <w:t>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11.3</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治安保卫管理</w:t>
            </w:r>
          </w:p>
        </w:tc>
        <w:tc>
          <w:tcPr>
            <w:tcW w:w="851" w:type="dxa"/>
            <w:vAlign w:val="center"/>
          </w:tcPr>
          <w:p>
            <w:pPr>
              <w:spacing w:line="360" w:lineRule="exact"/>
              <w:jc w:val="center"/>
              <w:rPr>
                <w:sz w:val="28"/>
                <w:szCs w:val="28"/>
              </w:rPr>
            </w:pPr>
            <w:r>
              <w:rPr>
                <w:rFonts w:hint="eastAsia"/>
                <w:sz w:val="28"/>
                <w:szCs w:val="28"/>
              </w:rPr>
              <w:t>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widowControl/>
              <w:jc w:val="center"/>
              <w:rPr>
                <w:rFonts w:ascii="方正楷体简体" w:hAnsi="宋体" w:eastAsia="方正楷体简体" w:cs="宋体"/>
                <w:kern w:val="0"/>
                <w:sz w:val="30"/>
                <w:szCs w:val="30"/>
              </w:rPr>
            </w:pPr>
          </w:p>
        </w:tc>
        <w:tc>
          <w:tcPr>
            <w:tcW w:w="992" w:type="dxa"/>
            <w:vAlign w:val="center"/>
          </w:tcPr>
          <w:p>
            <w:pPr>
              <w:spacing w:line="360" w:lineRule="exact"/>
              <w:jc w:val="center"/>
              <w:rPr>
                <w:sz w:val="28"/>
                <w:szCs w:val="28"/>
              </w:rPr>
            </w:pPr>
            <w:r>
              <w:rPr>
                <w:rFonts w:hint="eastAsia"/>
                <w:sz w:val="28"/>
                <w:szCs w:val="28"/>
              </w:rPr>
              <w:t>11.4</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门诊安全秩序管理</w:t>
            </w:r>
          </w:p>
        </w:tc>
        <w:tc>
          <w:tcPr>
            <w:tcW w:w="851" w:type="dxa"/>
            <w:vAlign w:val="center"/>
          </w:tcPr>
          <w:p>
            <w:pPr>
              <w:spacing w:line="360" w:lineRule="exact"/>
              <w:jc w:val="center"/>
              <w:rPr>
                <w:sz w:val="28"/>
                <w:szCs w:val="28"/>
              </w:rPr>
            </w:pPr>
            <w:r>
              <w:rPr>
                <w:rFonts w:hint="eastAsia"/>
                <w:sz w:val="28"/>
                <w:szCs w:val="28"/>
              </w:rPr>
              <w:t>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restart"/>
            <w:vAlign w:val="center"/>
          </w:tcPr>
          <w:p>
            <w:pPr>
              <w:jc w:val="center"/>
              <w:rPr>
                <w:sz w:val="28"/>
                <w:szCs w:val="28"/>
              </w:rPr>
            </w:pPr>
            <w:r>
              <w:rPr>
                <w:rFonts w:hint="eastAsia"/>
                <w:sz w:val="28"/>
                <w:szCs w:val="28"/>
              </w:rPr>
              <w:t>12</w:t>
            </w:r>
          </w:p>
        </w:tc>
        <w:tc>
          <w:tcPr>
            <w:tcW w:w="1701" w:type="dxa"/>
            <w:vMerge w:val="restart"/>
            <w:vAlign w:val="center"/>
          </w:tcPr>
          <w:p>
            <w:pPr>
              <w:widowControl/>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投诉与行风建设</w:t>
            </w:r>
          </w:p>
        </w:tc>
        <w:tc>
          <w:tcPr>
            <w:tcW w:w="992" w:type="dxa"/>
            <w:vAlign w:val="center"/>
          </w:tcPr>
          <w:p>
            <w:pPr>
              <w:spacing w:line="360" w:lineRule="exact"/>
              <w:jc w:val="center"/>
              <w:rPr>
                <w:sz w:val="28"/>
                <w:szCs w:val="28"/>
              </w:rPr>
            </w:pPr>
            <w:r>
              <w:rPr>
                <w:rFonts w:hint="eastAsia"/>
                <w:sz w:val="28"/>
                <w:szCs w:val="28"/>
              </w:rPr>
              <w:t>12.1</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医疗投诉受理</w:t>
            </w:r>
          </w:p>
        </w:tc>
        <w:tc>
          <w:tcPr>
            <w:tcW w:w="851" w:type="dxa"/>
            <w:vAlign w:val="center"/>
          </w:tcPr>
          <w:p>
            <w:pPr>
              <w:spacing w:line="360" w:lineRule="exact"/>
              <w:jc w:val="center"/>
              <w:rPr>
                <w:sz w:val="28"/>
                <w:szCs w:val="28"/>
              </w:rPr>
            </w:pPr>
            <w:r>
              <w:rPr>
                <w:rFonts w:hint="eastAsia"/>
                <w:sz w:val="28"/>
                <w:szCs w:val="28"/>
              </w:rPr>
              <w:t>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spacing w:line="360" w:lineRule="exact"/>
              <w:jc w:val="center"/>
              <w:rPr>
                <w:sz w:val="28"/>
                <w:szCs w:val="28"/>
              </w:rPr>
            </w:pPr>
          </w:p>
        </w:tc>
        <w:tc>
          <w:tcPr>
            <w:tcW w:w="992" w:type="dxa"/>
            <w:vAlign w:val="center"/>
          </w:tcPr>
          <w:p>
            <w:pPr>
              <w:spacing w:line="360" w:lineRule="exact"/>
              <w:jc w:val="center"/>
              <w:rPr>
                <w:sz w:val="28"/>
                <w:szCs w:val="28"/>
              </w:rPr>
            </w:pPr>
            <w:r>
              <w:rPr>
                <w:rFonts w:hint="eastAsia"/>
                <w:sz w:val="28"/>
                <w:szCs w:val="28"/>
              </w:rPr>
              <w:t>12.2</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医疗投诉处理</w:t>
            </w:r>
          </w:p>
        </w:tc>
        <w:tc>
          <w:tcPr>
            <w:tcW w:w="851" w:type="dxa"/>
            <w:vAlign w:val="center"/>
          </w:tcPr>
          <w:p>
            <w:pPr>
              <w:spacing w:line="360" w:lineRule="exact"/>
              <w:jc w:val="center"/>
              <w:rPr>
                <w:sz w:val="28"/>
                <w:szCs w:val="28"/>
              </w:rPr>
            </w:pPr>
            <w:r>
              <w:rPr>
                <w:rFonts w:hint="eastAsia"/>
                <w:sz w:val="28"/>
                <w:szCs w:val="28"/>
              </w:rPr>
              <w:t>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534" w:type="dxa"/>
            <w:vMerge w:val="continue"/>
          </w:tcPr>
          <w:p>
            <w:pPr>
              <w:jc w:val="center"/>
              <w:rPr>
                <w:sz w:val="28"/>
                <w:szCs w:val="28"/>
              </w:rPr>
            </w:pPr>
          </w:p>
        </w:tc>
        <w:tc>
          <w:tcPr>
            <w:tcW w:w="1701" w:type="dxa"/>
            <w:vMerge w:val="continue"/>
          </w:tcPr>
          <w:p>
            <w:pPr>
              <w:spacing w:line="360" w:lineRule="exact"/>
              <w:jc w:val="center"/>
              <w:rPr>
                <w:sz w:val="28"/>
                <w:szCs w:val="28"/>
              </w:rPr>
            </w:pPr>
          </w:p>
        </w:tc>
        <w:tc>
          <w:tcPr>
            <w:tcW w:w="992" w:type="dxa"/>
            <w:vAlign w:val="center"/>
          </w:tcPr>
          <w:p>
            <w:pPr>
              <w:spacing w:line="360" w:lineRule="exact"/>
              <w:jc w:val="center"/>
              <w:rPr>
                <w:sz w:val="28"/>
                <w:szCs w:val="28"/>
              </w:rPr>
            </w:pPr>
            <w:r>
              <w:rPr>
                <w:rFonts w:hint="eastAsia"/>
                <w:sz w:val="28"/>
                <w:szCs w:val="28"/>
              </w:rPr>
              <w:t>12.3</w:t>
            </w:r>
          </w:p>
        </w:tc>
        <w:tc>
          <w:tcPr>
            <w:tcW w:w="4961" w:type="dxa"/>
            <w:vAlign w:val="center"/>
          </w:tcPr>
          <w:p>
            <w:pPr>
              <w:widowControl/>
              <w:spacing w:line="48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行风投诉处理</w:t>
            </w:r>
          </w:p>
        </w:tc>
        <w:tc>
          <w:tcPr>
            <w:tcW w:w="851" w:type="dxa"/>
            <w:vAlign w:val="center"/>
          </w:tcPr>
          <w:p>
            <w:pPr>
              <w:spacing w:line="360" w:lineRule="exact"/>
              <w:jc w:val="center"/>
              <w:rPr>
                <w:sz w:val="28"/>
                <w:szCs w:val="28"/>
              </w:rPr>
            </w:pPr>
            <w:r>
              <w:rPr>
                <w:rFonts w:hint="eastAsia"/>
                <w:sz w:val="28"/>
                <w:szCs w:val="28"/>
              </w:rPr>
              <w:t>48</w:t>
            </w:r>
          </w:p>
        </w:tc>
      </w:tr>
    </w:tbl>
    <w:p>
      <w:pPr>
        <w:widowControl/>
        <w:jc w:val="left"/>
        <w:rPr>
          <w:b/>
          <w:sz w:val="36"/>
          <w:szCs w:val="36"/>
          <w:u w:val="single"/>
        </w:rPr>
      </w:pPr>
      <w:r>
        <w:rPr>
          <w:b/>
          <w:sz w:val="36"/>
          <w:szCs w:val="36"/>
          <w:u w:val="single"/>
        </w:rPr>
        <w:br w:type="page"/>
      </w:r>
    </w:p>
    <w:p>
      <w:pPr>
        <w:spacing w:beforeLines="50" w:afterLines="50"/>
        <w:jc w:val="center"/>
        <w:rPr>
          <w:b/>
          <w:sz w:val="36"/>
          <w:szCs w:val="36"/>
        </w:rPr>
      </w:pPr>
      <w:r>
        <w:rPr>
          <w:rFonts w:hint="eastAsia"/>
          <w:b/>
          <w:sz w:val="36"/>
          <w:szCs w:val="36"/>
          <w:u w:val="single"/>
        </w:rPr>
        <w:t>（门诊诊疗服务）</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pacing w:line="400" w:lineRule="exact"/>
              <w:jc w:val="left"/>
              <w:rPr>
                <w:sz w:val="28"/>
                <w:szCs w:val="28"/>
              </w:rPr>
            </w:pPr>
            <w:r>
              <w:rPr>
                <w:rFonts w:hint="eastAsia"/>
                <w:sz w:val="28"/>
                <w:szCs w:val="28"/>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pacing w:line="400" w:lineRule="exact"/>
              <w:jc w:val="left"/>
              <w:rPr>
                <w:rFonts w:asciiTheme="minorEastAsia" w:hAnsiTheme="minorEastAsia"/>
                <w:sz w:val="28"/>
                <w:szCs w:val="28"/>
              </w:rPr>
            </w:pPr>
            <w:r>
              <w:rPr>
                <w:rFonts w:hint="eastAsia" w:asciiTheme="minorEastAsia" w:hAnsiTheme="minorEastAsia"/>
                <w:sz w:val="28"/>
                <w:szCs w:val="28"/>
              </w:rPr>
              <w:t>门诊诊疗服务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pacing w:line="400" w:lineRule="exact"/>
              <w:jc w:val="left"/>
              <w:rPr>
                <w:rFonts w:asciiTheme="minorEastAsia" w:hAnsiTheme="minorEastAsia"/>
                <w:sz w:val="28"/>
                <w:szCs w:val="28"/>
              </w:rPr>
            </w:pPr>
            <w:r>
              <w:rPr>
                <w:rFonts w:hint="eastAsia" w:asciiTheme="minorEastAsia" w:hAnsiTheme="minorEastAsia"/>
                <w:sz w:val="28"/>
                <w:szCs w:val="28"/>
              </w:rPr>
              <w:t>《医疗机构管理条例》第三条医疗机构以救死扶伤，防病治病，为公民的健康服务为宗旨。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pacing w:line="400" w:lineRule="exact"/>
              <w:jc w:val="left"/>
              <w:rPr>
                <w:rFonts w:asciiTheme="minorEastAsia" w:hAnsiTheme="minorEastAsia"/>
                <w:sz w:val="28"/>
                <w:szCs w:val="28"/>
              </w:rPr>
            </w:pPr>
            <w:r>
              <w:rPr>
                <w:rFonts w:hint="eastAsia" w:asciiTheme="minorEastAsia" w:hAnsiTheme="minorEastAsia"/>
                <w:sz w:val="28"/>
                <w:szCs w:val="28"/>
              </w:rPr>
              <w:t>天津市滨海新区海滨人民医院门诊管理部、各临床及医技科室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pacing w:line="400" w:lineRule="exact"/>
              <w:jc w:val="left"/>
              <w:rPr>
                <w:rFonts w:asciiTheme="minorEastAsia" w:hAnsiTheme="minorEastAsia"/>
                <w:sz w:val="28"/>
                <w:szCs w:val="28"/>
              </w:rPr>
            </w:pPr>
            <w:r>
              <w:rPr>
                <w:rFonts w:hint="eastAsia" w:asciiTheme="minorEastAsia" w:hAnsiTheme="minorEastAsia"/>
                <w:sz w:val="28"/>
                <w:szCs w:val="28"/>
              </w:rPr>
              <w:t>天津市滨海新区海滨人民医院门诊管理部、各临床及医技科室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pacing w:line="400" w:lineRule="exact"/>
              <w:jc w:val="left"/>
              <w:rPr>
                <w:rFonts w:asciiTheme="minorEastAsia" w:hAnsiTheme="minorEastAsia"/>
                <w:sz w:val="28"/>
                <w:szCs w:val="28"/>
              </w:rPr>
            </w:pPr>
            <w:r>
              <w:rPr>
                <w:rFonts w:hint="eastAsia" w:asciiTheme="minorEastAsia" w:hAnsiTheme="minorEastAsia"/>
                <w:sz w:val="28"/>
                <w:szCs w:val="28"/>
              </w:rPr>
              <w:t>0.预约挂号。1.挂号或签到。2.就诊。3.检查检验。4.处方。5.取药。6.离院。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pacing w:line="400" w:lineRule="exact"/>
              <w:jc w:val="left"/>
              <w:rPr>
                <w:rFonts w:asciiTheme="minorEastAsia" w:hAnsiTheme="minorEastAsia"/>
                <w:sz w:val="28"/>
                <w:szCs w:val="28"/>
              </w:rPr>
            </w:pPr>
            <w:r>
              <w:rPr>
                <w:rFonts w:hint="eastAsia" w:asciiTheme="minorEastAsia" w:hAnsiTheme="minorEastAsia"/>
                <w:sz w:val="28"/>
                <w:szCs w:val="28"/>
              </w:rPr>
              <w:t>患者本人身份证、医保卡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tabs>
                <w:tab w:val="center" w:pos="938"/>
              </w:tabs>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pacing w:line="400" w:lineRule="exact"/>
              <w:jc w:val="left"/>
              <w:rPr>
                <w:rFonts w:asciiTheme="minorEastAsia" w:hAnsiTheme="minorEastAsia"/>
                <w:sz w:val="28"/>
                <w:szCs w:val="28"/>
              </w:rPr>
            </w:pPr>
            <w:r>
              <w:rPr>
                <w:rFonts w:hint="eastAsia" w:asciiTheme="minorEastAsia" w:hAnsiTheme="minorEastAsia"/>
                <w:sz w:val="28"/>
                <w:szCs w:val="28"/>
              </w:rPr>
              <w:t>依据《医疗机构管理条例》执行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pacing w:line="400" w:lineRule="exact"/>
              <w:rPr>
                <w:rFonts w:asciiTheme="minorEastAsia" w:hAnsiTheme="minorEastAsia"/>
                <w:sz w:val="28"/>
                <w:szCs w:val="28"/>
              </w:rPr>
            </w:pPr>
            <w:r>
              <w:rPr>
                <w:rFonts w:hint="eastAsia" w:asciiTheme="minorEastAsia" w:hAnsiTheme="minorEastAsia"/>
                <w:sz w:val="28"/>
                <w:szCs w:val="28"/>
              </w:rPr>
              <w:t>电话号码：</w:t>
            </w:r>
            <w:r>
              <w:rPr>
                <w:rFonts w:asciiTheme="minorEastAsia" w:hAnsiTheme="minorEastAsia"/>
                <w:sz w:val="28"/>
                <w:szCs w:val="28"/>
              </w:rPr>
              <w:t>022-25924213</w:t>
            </w:r>
          </w:p>
          <w:p>
            <w:pPr>
              <w:spacing w:line="400" w:lineRule="exact"/>
              <w:rPr>
                <w:rFonts w:asciiTheme="minorEastAsia" w:hAnsiTheme="minorEastAsia"/>
                <w:sz w:val="28"/>
                <w:szCs w:val="28"/>
              </w:rPr>
            </w:pPr>
            <w:r>
              <w:rPr>
                <w:rFonts w:hint="eastAsia" w:asciiTheme="minorEastAsia" w:hAnsiTheme="minorEastAsia"/>
                <w:sz w:val="28"/>
                <w:szCs w:val="28"/>
              </w:rPr>
              <w:t>电子邮箱：</w:t>
            </w:r>
            <w:r>
              <w:rPr>
                <w:rFonts w:asciiTheme="minorEastAsia" w:hAnsiTheme="minorEastAsia"/>
                <w:sz w:val="28"/>
                <w:szCs w:val="28"/>
              </w:rPr>
              <w:t>dgytzyy@163.com</w:t>
            </w:r>
          </w:p>
          <w:p>
            <w:pPr>
              <w:spacing w:line="400" w:lineRule="exact"/>
              <w:rPr>
                <w:rFonts w:asciiTheme="minorEastAsia" w:hAnsiTheme="minorEastAsia"/>
                <w:sz w:val="28"/>
                <w:szCs w:val="28"/>
              </w:rPr>
            </w:pPr>
            <w:r>
              <w:rPr>
                <w:rFonts w:hint="eastAsia" w:asciiTheme="minorEastAsia" w:hAnsiTheme="minorEastAsia"/>
                <w:sz w:val="28"/>
                <w:szCs w:val="28"/>
              </w:rPr>
              <w:t>地址：天津市滨海新区海滨街幸福路和健安道交口</w:t>
            </w:r>
          </w:p>
        </w:tc>
      </w:tr>
    </w:tbl>
    <w:p>
      <w:pPr>
        <w:widowControl/>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（护理服务）</w:t>
      </w:r>
      <w:r>
        <w:rPr>
          <w:rFonts w:hint="eastAsia"/>
          <w:b/>
          <w:sz w:val="36"/>
          <w:szCs w:val="36"/>
        </w:rPr>
        <w:t>信息表</w:t>
      </w:r>
    </w:p>
    <w:tbl>
      <w:tblPr>
        <w:tblStyle w:val="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6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ascii="仿宋_GB2312" w:hAnsi="仿宋" w:eastAsia="仿宋_GB2312" w:cs="宋体"/>
                <w:kern w:val="0"/>
                <w:sz w:val="32"/>
                <w:szCs w:val="30"/>
              </w:rPr>
              <w:t>1.</w:t>
            </w:r>
            <w:r>
              <w:rPr>
                <w:rFonts w:hint="eastAsia" w:ascii="仿宋_GB2312" w:hAnsi="仿宋" w:eastAsia="仿宋_GB2312" w:cs="宋体"/>
                <w:kern w:val="0"/>
                <w:sz w:val="32"/>
                <w:szCs w:val="3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护理服务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《医疗机构管理条例》第三条医疗机构以救死扶伤，防病治病，为公民的健康服务为宗旨。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天津市滨海新区海滨人民医院所属各护理单元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天津市滨海新区海滨人民医院护理部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执行医嘱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取得执业资格，合法开展诊疗护理服务。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center"/>
        <w:rPr>
          <w:b/>
          <w:sz w:val="36"/>
          <w:szCs w:val="36"/>
          <w:u w:val="single"/>
        </w:rPr>
      </w:pPr>
      <w:r>
        <w:rPr>
          <w:rFonts w:hint="eastAsia"/>
          <w:b/>
          <w:sz w:val="36"/>
          <w:szCs w:val="36"/>
          <w:u w:val="single"/>
        </w:rPr>
        <w:br w:type="page"/>
      </w:r>
    </w:p>
    <w:p>
      <w:pPr>
        <w:spacing w:beforeLines="50" w:afterLines="50"/>
        <w:jc w:val="center"/>
        <w:rPr>
          <w:b/>
          <w:sz w:val="36"/>
          <w:szCs w:val="36"/>
        </w:rPr>
      </w:pPr>
      <w:r>
        <w:rPr>
          <w:rFonts w:hint="eastAsia"/>
          <w:b/>
          <w:sz w:val="36"/>
          <w:szCs w:val="36"/>
          <w:u w:val="single"/>
        </w:rPr>
        <w:t>复印、复制</w:t>
      </w:r>
      <w:r>
        <w:rPr>
          <w:b/>
          <w:sz w:val="36"/>
          <w:szCs w:val="36"/>
          <w:u w:val="single"/>
        </w:rPr>
        <w:t>客观病</w:t>
      </w:r>
      <w:r>
        <w:rPr>
          <w:rFonts w:hint="eastAsia"/>
          <w:b/>
          <w:sz w:val="36"/>
          <w:szCs w:val="36"/>
          <w:u w:val="single"/>
        </w:rPr>
        <w:t>历</w:t>
      </w:r>
      <w:r>
        <w:rPr>
          <w:rFonts w:hint="eastAsia"/>
          <w:b/>
          <w:sz w:val="36"/>
          <w:szCs w:val="36"/>
        </w:rPr>
        <w:t>息表</w:t>
      </w:r>
    </w:p>
    <w:tbl>
      <w:tblPr>
        <w:tblStyle w:val="5"/>
        <w:tblW w:w="854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50"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50"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复印、复制客观病历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50"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国家卫生计生委、国家中医药管理局《关于印发《医疗机构病历管理规定(2013年版）》的通知》（国卫医发〔2013〕31号）第十九条 医疗机构应当受理下列人员和机构复制或者查阅病历资料的申请，并依规定提供病历复制或者查阅服务：（一）患者本人或者其委托代理人；（二）死亡患者法定继承人或者其代理人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50"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天津市滨海新区海滨人民医院医务科教部、放射影像科（提供数字影像材料）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50"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医务科教部、放射影像科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50"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1.提交申请材料。2.形式审核申请材料。3.复印或复制。4.复印件盖章。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50"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申请人为患者本人的，应当提供其有效身份证明；2.申请人为患者代理人的，应当提供患者及其代理人的有效身份证明，以及代理人与患者代理关系的法定证明材料和授权委托书；3.申请人为死亡患者法定继承人的，应当提供患者死亡证明、死亡患者法定继承人的有效身份证明，死亡患者与法定继承人关系的法定证明材料；4.申请人为死亡患者法定继承人代理人的，应当提供患者死亡证明、死亡患者法定继承人及其代理人的有效身份证明，死亡患者与法定继承人关系的法定证明材料，代理人与法定继承人代理关系的法定证明材料及授权委托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50"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依据国家卫生计生委、国家中医药管理局《关于印发《医疗机构病历管理规定(2013年版）》的通知》（国卫医发〔2013〕31号）执行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50"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center"/>
        <w:rPr>
          <w:b/>
          <w:sz w:val="36"/>
          <w:szCs w:val="36"/>
          <w:u w:val="single"/>
        </w:rPr>
      </w:pPr>
      <w:r>
        <w:rPr>
          <w:rFonts w:hint="eastAsia"/>
          <w:b/>
          <w:sz w:val="36"/>
          <w:szCs w:val="36"/>
          <w:u w:val="single"/>
        </w:rPr>
        <w:br w:type="page"/>
      </w:r>
    </w:p>
    <w:p>
      <w:pPr>
        <w:spacing w:beforeLines="50" w:afterLines="50"/>
        <w:jc w:val="center"/>
        <w:rPr>
          <w:b/>
          <w:sz w:val="36"/>
          <w:szCs w:val="36"/>
        </w:rPr>
      </w:pPr>
      <w:r>
        <w:rPr>
          <w:rFonts w:hint="eastAsia"/>
          <w:b/>
          <w:sz w:val="36"/>
          <w:szCs w:val="36"/>
          <w:u w:val="single"/>
        </w:rPr>
        <w:t>（疾病应急救助基金申请）</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0"/>
        <w:gridCol w:w="64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0"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32"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0"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32"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疾病应急救助基金申请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9" w:hRule="atLeast"/>
          <w:jc w:val="center"/>
        </w:trPr>
        <w:tc>
          <w:tcPr>
            <w:tcW w:w="2090"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32"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《天津市人民政府办公厅关于转发市卫生局等八部门拟定的天津市疾病应急救助制度实施意见的通知》（津政办发 〔2014〕48号）》市卫生局牵头，会同市民政局、市公安局、市人力社保局、市残联制定疾病应急救助对象身份审核认定的具体办法。市卫生局牵头，会同市财政局、市民政局、市人力社保局制定疾病应急救助基金的具体支付范围。市卫生局制定疾病应急救助患者取人审批表和疾病应急救助患者医疗费用审核支付表。市卫生局负责制定疾病应急救助制度实施细则及工作流程，严格监督医疗机构畅通绿色通道对患者进行紧急救治、规范救治，查处医疗机构及其工作人员虚报信息套取基金、过度医疗等违法行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0"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32"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天津市滨海新区海滨人民医院医务科教部、相关临床科室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0"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32"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医务科教部负责接收、初审、上报信息。相关临床科室提供规范基础信息。财务科提供原始票据及费用清单。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0"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32"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提出申请，医疗机构审核，向有关部门提交材料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0"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32"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医疗机构收费票据原件或复印件、医疗机构盖章的费用清单、医疗机构盖章的长期、临时医嘱，入院记录、出院小结及住院病案首页复印件或急诊病历复印件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0"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32"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0"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32"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center"/>
        <w:rPr>
          <w:b/>
          <w:sz w:val="36"/>
          <w:szCs w:val="36"/>
          <w:u w:val="single"/>
        </w:rPr>
      </w:pPr>
    </w:p>
    <w:p>
      <w:pPr>
        <w:widowControl/>
        <w:jc w:val="left"/>
        <w:rPr>
          <w:b/>
          <w:sz w:val="36"/>
          <w:szCs w:val="36"/>
          <w:u w:val="single"/>
        </w:rPr>
      </w:pPr>
      <w:r>
        <w:rPr>
          <w:b/>
          <w:sz w:val="36"/>
          <w:szCs w:val="36"/>
          <w:u w:val="single"/>
        </w:rPr>
        <w:br w:type="page"/>
      </w:r>
    </w:p>
    <w:p>
      <w:pPr>
        <w:widowControl/>
        <w:jc w:val="center"/>
        <w:rPr>
          <w:b/>
          <w:sz w:val="28"/>
          <w:szCs w:val="28"/>
          <w:u w:val="single"/>
        </w:rPr>
      </w:pPr>
      <w:r>
        <w:rPr>
          <w:rFonts w:hint="eastAsia"/>
          <w:b/>
          <w:sz w:val="36"/>
          <w:szCs w:val="36"/>
          <w:u w:val="single"/>
        </w:rPr>
        <w:t>（公安、司法、人力资源社会保障、保险以及负责医疗事故技术鉴定的部门审核、查阅或者复制病历资料）</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公安、司法、人力资源社会保障、保险以及负责医疗事故技术鉴定的部门审核、查阅或者复制病历资料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国家卫生计生委、国家中医药管理局《关于印发《医疗机构病历管理规定(2013年版）》的通知》（国卫医发〔2013〕31号）第二十条公安、司法、人力资源社会保障、保险以及负责医疗事故技术鉴定的部门，因办理案件、依法实施专业技术鉴定、医疗保险审核或仲裁、商业保险审核等需要，提出审核、查阅或者复制病历资料要求的,经办人员提供以下证明材料后，医疗机构可以根据需要提供患者部分或全部病历：（一）该行政机关、司法机关、保险或者负责医疗事故技术鉴定部门出具的调取病历的法定证明；（二）经办人本人有效身份证明；（三）经办人本人有效工作证明（需与该行政机关、司法机关、保险或者负责医疗事故技术鉴定部门一致）。</w:t>
            </w:r>
          </w:p>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保险机构因商业保险审核等需要，提出审核、查阅或者复制病历资料要求的,还应当提供保险合同复印件、患者本人或者其代理人同意的法定证明材料;患者死亡的，应当提供保险合同复印件、死亡患者法定继承人或者其代理人同意的法定证明材料。合同或者法律另有规定的除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天津市滨海新区海滨人民医院医务科教部、放射影像科（提供数字影像材料）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医务科教部、放射影像科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提交申请材料。2.形式审核申请材料。</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3.复印或复制。4.复印件盖章。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该行政机关、司法机关、保险或者负责医疗事故技术鉴定部门出具的调取病历的法定证明；2.经办人本人有效身份证明；3.经办人本人有效工作证明（需与该行政机关、司法机关、保险或者负责医疗事故技术鉴定部门一致）。</w:t>
            </w:r>
          </w:p>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保险机构因商业保险审核等需要，提出审核、查阅或者复制病历资料要求的,还应当提供保险合同复印件、患者本人或者其代理人同意的法定证明材料;患者死亡的，应当提供保险合同复印件、死亡患者法定继承人或者其代理人同意的法定证明材料。合同或者法律另有规定的除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依据国家卫生计生委、国家中医药管理局《关于印发《医疗机构病历管理规定(2013年版）》的通知》（国卫医发〔2013〕31号）执行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b/>
          <w:sz w:val="36"/>
          <w:szCs w:val="36"/>
          <w:u w:val="single"/>
        </w:rPr>
      </w:pPr>
      <w:r>
        <w:rPr>
          <w:b/>
          <w:sz w:val="36"/>
          <w:szCs w:val="36"/>
          <w:u w:val="single"/>
        </w:rPr>
        <w:br w:type="page"/>
      </w:r>
    </w:p>
    <w:p>
      <w:pPr>
        <w:widowControl/>
        <w:jc w:val="center"/>
        <w:rPr>
          <w:b/>
          <w:sz w:val="36"/>
          <w:szCs w:val="36"/>
        </w:rPr>
      </w:pPr>
      <w:r>
        <w:rPr>
          <w:rFonts w:hint="eastAsia"/>
          <w:b/>
          <w:sz w:val="36"/>
          <w:szCs w:val="36"/>
          <w:u w:val="single"/>
        </w:rPr>
        <w:t>（住院病历的封存和启封）</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住院病历的封存和启封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35"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国家卫生计生委、国家中医药管理局《关于印发《医疗机构病历管理规定(2013年版）》的通知》（国卫医发〔2013〕31号）第二十四条  依法需要封存病历时，应当在医疗机构或者其委托代理人、患者或者其代理人在场的情况下，对病历共同进行确认，签封病历复制件。</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疗机构申请封存病历时，医疗机构应当告知患者或者其代理人共同实施病历封存；但患者或者其代理人拒绝或者放弃实施病历封存的，医疗机构可以在公证机构公证的情况下，对病历进行确认，由公证机构签封病历复制件。</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第二十七条  开启封存病历应当在签封各方在场的情况下实施。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w:t>
            </w:r>
            <w:r>
              <w:rPr>
                <w:rFonts w:ascii="仿宋_GB2312" w:hAnsi="仿宋" w:eastAsia="仿宋_GB2312" w:cs="宋体"/>
                <w:kern w:val="0"/>
                <w:sz w:val="32"/>
                <w:szCs w:val="30"/>
              </w:rPr>
              <w:t>人民医院医务科教部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封存：1.医疗机构或者其委托代理人、患者或者其代理人在场。2.对病历共同进行确认。3.签封病历复制件。4.医疗机构保存签封病历。启封：1.签封各方在场。2.启封。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1.医疗机构或者其委托代理人、患者或者其代理人在场。</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2.医疗机构申请封存病历时，医疗机构应当告知患者或者其代理人共同实施病历封存；但患者或者其代理人拒绝或者放弃实施病历封存的，医疗机构可以在公证机构公证的情况下，对病历进行确认，由公证机构签封病历复制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依据国家卫生计生委、国家中医药管理局《关于印发《医疗机构病历管理规定(2013年版）》的通知》（国卫医发〔2013〕31号）执行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（义诊）</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义诊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原卫生部《关于组织义诊活动实行备案管理的通知》（卫医发〔2001〕365号）、《市卫生计生委关于进一步加强我市义诊活动管理的通知》（津卫医政〔2016〕308号）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天津市滨海新区海滨人民医院党委办公室（审计办公室）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天津市滨海新区海滨人民医院党委办公室（审计办公室）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1.制定义诊计划。</w:t>
            </w:r>
            <w:r>
              <w:rPr>
                <w:rFonts w:ascii="仿宋_GB2312" w:hAnsi="仿宋" w:eastAsia="仿宋_GB2312" w:cs="宋体"/>
                <w:kern w:val="0"/>
                <w:sz w:val="32"/>
                <w:szCs w:val="30"/>
              </w:rPr>
              <w:t>2.</w:t>
            </w:r>
            <w:r>
              <w:rPr>
                <w:rFonts w:hint="eastAsia" w:ascii="仿宋_GB2312" w:hAnsi="仿宋" w:eastAsia="仿宋_GB2312" w:cs="宋体"/>
                <w:kern w:val="0"/>
                <w:sz w:val="32"/>
                <w:szCs w:val="30"/>
              </w:rPr>
              <w:t>组织医疗机构和医务人员。</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3.开展义诊。4.进行宣传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（卫统表上报）</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卫统表上报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《中华人民共和国统计法》第七条、第十五条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天津市滨海新区海滨人民医院医务科教部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统计室负责从各科收集数据、填写报表，审核后上报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卫统表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（各项监测</w:t>
      </w:r>
      <w:r>
        <w:rPr>
          <w:b/>
          <w:sz w:val="36"/>
          <w:szCs w:val="36"/>
          <w:u w:val="single"/>
        </w:rPr>
        <w:t>报表上报</w:t>
      </w:r>
      <w:r>
        <w:rPr>
          <w:rFonts w:hint="eastAsia"/>
          <w:b/>
          <w:sz w:val="36"/>
          <w:szCs w:val="36"/>
          <w:u w:val="single"/>
        </w:rPr>
        <w:t>）</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各项监测报表上报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《医疗质量管理办法》（国家卫生和计划生育委员会令第十号）第二十六条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天津市滨海新区海滨人民医院医务科教部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医务科教部负责收取监测表、质量控制、护理、医院感染管理、医学工程、信息、后勤等相关职能部门负责人以及相关临床、药学、医技等科室提供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（人员培训进修）</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人员培训进修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《天津市滨海新区海滨人民医院员工培训管理办法》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天津市滨海新区海滨人民医院组织人事部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天津市滨海新区海滨人民医院组织人事部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科室或个人制定计划—科教科审阅确定—相关环节领导签字—事项落实—与项目责任人沟通确认—岗前培训—持续跟踪事项进展及完成情况—确保在时间节点内完成相关事项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1.严格把关相关申请是否符合医院规定；</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2.及时与项目负责人沟通，及时评估项目完成情况及项目负责人收益；</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3.持续监督，把控时间节点。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（卫生技术人员继续教育）</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卫生技术人员继续教育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69"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中华人民共和国教育法》、《中华人民共和国科学技术进步法》、《专业技术人员继续教育规定》(人力资源社会保障部令第25号）、《天津市专业技术人员和管理人员继续教育条例》、《市人力社保局关于进一步规范专业技术人员继续教育工作的通知》（津人社局发〔2014〕51号）、《天津市专业技术人员和管理人员继续教育证书登记及考核管理办法》（津人社局发〔2014〕46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天津市滨海新区海滨人民医院组织人事部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确定继教项目——培训——考核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1.负责制定全年继续教育培训计划；2.组织开展继续教育培训，确保完成培训任务；3.对参训人员进行考核，发放继续教育合格证。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（实习医生管理）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实习医生管理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《关于印发〈普通高等医学院校临床教学基地管理暂行规定〉的通知》（教高〔1992〕8号）</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《医学教育临床实践管理暂行规定》（卫科教发〔2008〕45号）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天津市滨海新区海滨人民医院医务科教部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相应轮转临床科室配合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培训细则。2.入科教育。</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3.出科考核。4.结业考核。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依据《关于印发〈普通高等医学院校临床教学基地管理暂行规定〉的通知》（教高〔1992〕8号）;《医学教育临床实践管理暂行规定》（卫科教发〔2008〕45号）执行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（进修医师管理）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进修医师管理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国家卫生计生委《医师执业注册管理办法》（国家卫生计划生育委员会令第13号）第二十条第二款医师因参加培训需要注册或者变更注册的，应当按照本办法规定办理相关手续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天津市滨海新区海滨人民医院医务科教部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相关专业临床科室配合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培训细则。2.入科教育。</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3.出科考核。4.结业考核。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依据国家卫生计生委《医师执业注册管理办法》（国家卫生计划生育委员会令第13号）执行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（开具医学诊断证明书）</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开具医学诊断证明书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69"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48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津卫医〔2008〕387号</w:t>
            </w:r>
          </w:p>
          <w:p>
            <w:pPr>
              <w:snapToGrid w:val="0"/>
              <w:spacing w:line="48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第四条医师开具的诊断证明书、休假证明，日期应填写就诊当日，当日盖章有效。原则上，急诊开具病休假时间一般不超过3天，门诊不超1周，慢性病不超过2周，特殊情况不超过1个月。</w:t>
            </w:r>
          </w:p>
          <w:p>
            <w:pPr>
              <w:snapToGrid w:val="0"/>
              <w:spacing w:line="48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第五条 诊断证明、休假证明只证明病人疾病诊断和是否需要病休以及时间或医疗建议，不得出现疗养、免夜班等非临床医学治疗内容，不应提及与医疗不相关的其他处理意见。</w:t>
            </w:r>
          </w:p>
          <w:p>
            <w:pPr>
              <w:snapToGrid w:val="0"/>
              <w:spacing w:line="48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第六条 凡涉及司法办案需要的证明，以及用于因病退休、伤害、残疾、工伤、劳动鉴定、保险索赔、办理低保、生育第二胎等特殊诊断证明，由当事人或家属持公检法、交通管理、劳动保障等相关部门的介绍信，经医院管理部门审核后，由相应科室医师按照相关规定开具诊断证明。</w:t>
            </w:r>
          </w:p>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2"/>
              </w:rPr>
              <w:t>《执业医师法》第21条规定，医师享有在注册执业范围内，进行医学检查，疾病调查，医学处理，出具相应的医学诊断证明文件，选择合理的医疗、预防保健的权力。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天津市滨海新区海滨人民医院门诊管理部、临床科室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天津市滨海新区海滨人民临床科室医生开证明、门诊管理部审核盖章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医生根据病情，根据文件规定开具，由门诊管理部审核盖章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需要患者本人及相关检查资料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依据津卫医〔2008〕387号、《执业医师法》规定执行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（开具医学出生证明）</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开具医学出生证明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5"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1.中华人民共和国母婴保健法（中华人民共和国主席令第33号）第二十三条</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2.《卫生部关于进一步加强出生证明管理的通知》（妇卫社发〔2009〕96号）。</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3.《关于启用和规范管理新版出生医学证明的通知》（国卫幼发〔2013〕52号）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天津市滨海新区海滨人民医院妇产科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妇产科为主，医院感染管理部（公共卫生管理部）督导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1.妇产科采集产妇信息填写出生医学调查表，开具医学出生证明。2.妇产科主管人员进行复核、盖章。3.网络直报。4.医院感染管理部（公共卫生管理部）督导落实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1.产妇在本单位妇产科生产 </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2.凭新生儿父母双方身份证原件及复印件。</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3.确定婴儿性别及姓名。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按照《卫生部关于进一步加强出生证明管理的通知》执行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（开具居民死亡医学证明（推断）书）</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2"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开具居民死亡医学证明（推断）书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1.国卫办规划发〔2014〕68号 国家卫计委办公厅关于印发认可死亡信息登记管理规范（试行）的通知</w:t>
            </w:r>
          </w:p>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2.津卫办〔2014〕7号 市卫生局关于印发天津市认可死亡信息登记管理规范的通知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天津市滨海新区海滨人民医院医院感染管理部（公共卫生管理部）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医院感染管理部（公共卫生管理部）为主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1.院内死亡者，签发《居民死亡医学证明（推断）》时，由死者第一顺序继承人前来办理。2.由负责医师填写。3.家属确认填写无误后签字。4.急诊医学科科盖章，医院感染管理部（公共卫生管理部）网上直报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签发《居民死亡医学证明（推断）》由死者第一顺位继承人或者委托人（委托人需提供委托证明）携带死者的户口本、身份证及本人身份证前来办理。由负责医师或者接诊执业医师签发。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按照《天津市认可死亡信息登记管理规范》执行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48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center"/>
        <w:rPr>
          <w:b/>
          <w:sz w:val="36"/>
          <w:szCs w:val="36"/>
        </w:rPr>
      </w:pPr>
      <w:r>
        <w:rPr>
          <w:rFonts w:hint="eastAsia"/>
          <w:b/>
          <w:sz w:val="36"/>
          <w:szCs w:val="36"/>
          <w:u w:val="single"/>
        </w:rPr>
        <w:t>（医保患者结算）</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医保患者结算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《天津市城镇职工基本医疗保险规定》、《天津市城镇居民基本医疗保险规定》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天津市滨海新区海滨人民医院医疗保险部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天津市滨海新区海滨人民医院医疗保险部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医疗保险部审核-结算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（城乡门诊登记）</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城乡门诊登记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市社保中心关于转发《市人力社保局关于配合全市公立医院改革医疗服务价格调整做好医保支付工作的通知》的通知津社保〔2016〕39号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天津市滨海新区海滨人民医院医疗保险部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天津市滨海新区海滨人民医院医疗保险部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新增/变更-申请-备案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（参保人员住院医保审核单和转诊转院）</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参保人员住院医保审核单和转诊转院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《天津市城镇职工基本医疗保险规定》、《天津市城镇居民基本医疗保险规定》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天津市滨海新区海滨人民医院医疗保险部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天津市滨海新区海滨人民医院医疗保险部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持相关材料到医保窗口登记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患者本人身份证、医保卡、出院结算票据、医师开具的转诊转院表单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（异地医保联网结算）</w:t>
      </w:r>
      <w:r>
        <w:rPr>
          <w:rFonts w:hint="eastAsia"/>
          <w:b/>
          <w:sz w:val="36"/>
          <w:szCs w:val="36"/>
        </w:rPr>
        <w:t>信息表</w:t>
      </w:r>
    </w:p>
    <w:tbl>
      <w:tblPr>
        <w:tblStyle w:val="5"/>
        <w:tblW w:w="869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6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603"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603"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异地医保联网结算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603"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《关于进一步做好基本医疗保险异地就医医疗费用结算工作的指导意见》（人社部发〔2014〕93号），《天津市人民政府关于进一步完善医疗保险制度的意见》（津政发〔2016〕17号）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603"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天津市滨海新区海滨人民医院医疗保险部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603"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天津市滨海新区海滨人民医院医疗保险部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603"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1.患者在参保地医疗保险经办机构办理全国联网登记</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2.联网登记成功后患者到就医地医疗机构办理住院联网登记</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3.就医结束后联网刷卡，即时结算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603"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患者在参保地医疗保险经办机构办理全国联网登记，持社会保障卡办理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603"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603"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（门特登记）</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门特登记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《关于印发〈天津市城镇职工基本医疗保险门诊特殊病种管理办法〉的通知》（津劳局〔2001〕320号）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天津市滨海新区海滨人民医院医疗保险部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只限办理偏瘫、癌症放化疗、肺心病、糖尿病、肾透析、再生障碍性贫血、慢性血小板减少性紫癜、癫痫门特登记及变更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填写《天津市基本医疗保险门诊特殊病种登记审批表》。由相应的门特诊断医师出具病情鉴定意见。医疗保险部审核。医疗保险部进行门特联网审批登记。审批表由经办人员签字后加盖医院医疗保险专用章。存档备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1.本院住院就医病史资料。</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2.本院有关检查和化验报告单。</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3.有效身份证明、医保卡、身份证。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（药品采购管理）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药品采购管理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《中华人民共和国药品管理法》（2001，第四章）</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《医疗机构药事管理规定》（2011，第五章）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天津市滨海新区海滨人民医院物资装备部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1.医疗机构制定采购计划。2.在招标采购平台采购药品。3.企业送货。4.验货。5.分类入库。6.按计划发给药房。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center"/>
        <w:rPr>
          <w:b/>
          <w:sz w:val="36"/>
          <w:szCs w:val="36"/>
          <w:u w:val="single"/>
        </w:rPr>
      </w:pPr>
      <w:r>
        <w:rPr>
          <w:rFonts w:hint="eastAsia"/>
          <w:b/>
          <w:sz w:val="36"/>
          <w:szCs w:val="36"/>
          <w:u w:val="single"/>
        </w:rPr>
        <w:br w:type="page"/>
      </w:r>
    </w:p>
    <w:p>
      <w:pPr>
        <w:spacing w:beforeLines="50" w:afterLines="50"/>
        <w:jc w:val="center"/>
        <w:rPr>
          <w:b/>
          <w:sz w:val="36"/>
          <w:szCs w:val="36"/>
        </w:rPr>
      </w:pPr>
      <w:r>
        <w:rPr>
          <w:rFonts w:hint="eastAsia"/>
          <w:b/>
          <w:sz w:val="36"/>
          <w:szCs w:val="36"/>
          <w:u w:val="single"/>
        </w:rPr>
        <w:t>（医疗设备采购管理）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医疗设备采购管理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《中华人民共和国政府采购法》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天津市滨海新区海滨人民医院物资装备部（综合保障部）、财务资产部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牵头部门：物资装备部（综合保障部）；</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配合部门：财务资产部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采购计划。2.预算编报。</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3.公开招标。4.签订合同。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参与竞标公司需要符合《中华人民共和国政府采购法》要求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sz w:val="28"/>
          <w:szCs w:val="28"/>
        </w:rPr>
      </w:pPr>
      <w:r>
        <w:rPr>
          <w:sz w:val="28"/>
          <w:szCs w:val="28"/>
        </w:rPr>
        <w:br w:type="page"/>
      </w:r>
    </w:p>
    <w:p>
      <w:pPr>
        <w:spacing w:beforeLines="50" w:afterLines="50"/>
        <w:jc w:val="center"/>
        <w:rPr>
          <w:b/>
          <w:sz w:val="36"/>
          <w:szCs w:val="36"/>
        </w:rPr>
      </w:pPr>
      <w:r>
        <w:rPr>
          <w:rFonts w:hint="eastAsia"/>
          <w:b/>
          <w:sz w:val="36"/>
          <w:szCs w:val="36"/>
          <w:u w:val="single"/>
        </w:rPr>
        <w:t>（非医疗设备采购）</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非医疗设备采购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《中华人民共和国政府采购法》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天津市滨海新区海滨人民医院物资装备部（综合保障部）、财务资产部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牵头部门：物资装备部（综合保障部）；</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配合部门：财务资产部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1.采购计划。2.预算编报。</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3.公开招标。4.签订合同。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参与竞标公司需要符合《中华人民共和国政府采购法》要求。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非医疗设备采购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jc w:val="center"/>
        <w:rPr>
          <w:sz w:val="28"/>
          <w:szCs w:val="28"/>
        </w:rPr>
      </w:pPr>
      <w:r>
        <w:rPr>
          <w:rFonts w:hint="eastAsia"/>
          <w:sz w:val="28"/>
          <w:szCs w:val="28"/>
        </w:rPr>
        <w:br w:type="page"/>
      </w:r>
    </w:p>
    <w:p>
      <w:pPr>
        <w:spacing w:beforeLines="50" w:afterLines="50"/>
        <w:jc w:val="center"/>
        <w:rPr>
          <w:b/>
          <w:sz w:val="36"/>
          <w:szCs w:val="36"/>
        </w:rPr>
      </w:pPr>
      <w:r>
        <w:rPr>
          <w:rFonts w:hint="eastAsia"/>
          <w:b/>
          <w:sz w:val="36"/>
          <w:szCs w:val="36"/>
          <w:u w:val="single"/>
        </w:rPr>
        <w:t>（医疗设备报废）</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医疗设备报废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《市卫生计生委关于进一步明确直属单位医用设备处置有关问题的通知》、《行政事业单位国有资产处置管理实施办法》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天津市滨海新区海滨人民医院物资装备部（综合保障部）、财务资产部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牵头部门：物资装备部（综合保障部）；</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配合部门：财务资产部、医院办公室、网络信息部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1.填写报废明细。2.医学装备管理委员会讨论。3.院班子会报备。4.上级单位审批。5.区财政局审批。6.变卖残值。7.款项上交财务资产部。8.销账处理。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1.参与处理残值的公司应为市财政局指定回收公司。2.处理残值时物资装备部（综合保障部）、财务资产部、医院办公室、审计等部门应到场，保障国有资产不流失。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rPr>
          <w:b/>
          <w:sz w:val="36"/>
          <w:szCs w:val="36"/>
          <w:u w:val="single"/>
        </w:rPr>
      </w:pPr>
      <w:r>
        <w:rPr>
          <w:rFonts w:hint="eastAsia"/>
          <w:b/>
          <w:sz w:val="36"/>
          <w:szCs w:val="36"/>
          <w:u w:val="single"/>
        </w:rPr>
        <w:br w:type="page"/>
      </w:r>
    </w:p>
    <w:p>
      <w:pPr>
        <w:spacing w:beforeLines="50" w:afterLines="50"/>
        <w:jc w:val="center"/>
        <w:rPr>
          <w:b/>
          <w:sz w:val="36"/>
          <w:szCs w:val="36"/>
        </w:rPr>
      </w:pPr>
      <w:r>
        <w:rPr>
          <w:rFonts w:hint="eastAsia"/>
          <w:b/>
          <w:sz w:val="36"/>
          <w:szCs w:val="36"/>
          <w:u w:val="single"/>
        </w:rPr>
        <w:t>（非医疗设备报废）</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非医疗设备报废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《行政事业单位国有资产处置管理实施办法》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天津市滨海新区海滨人民医院物资装备部（综合保障部）、财务资产部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牵头部门：物资装备部（综合保障部）</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配合部门：财务资产部、医院办公室、网络信息部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1.填写报废明细。2.院班子会报备。3.上级单位审批。4.区财政局审批。5.变卖残值。6.款项上交财务科。7.销账处理。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1.参与处理残值的公司应为市财政局指定回收公司。</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2.处理残值时物资装备部（综合保障部）、财务资产部、医院办公室、审计等部门应到场，保障国有资产不流失。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jc w:val="left"/>
        <w:rPr>
          <w:sz w:val="28"/>
          <w:szCs w:val="28"/>
        </w:rPr>
      </w:pPr>
      <w:r>
        <w:rPr>
          <w:sz w:val="28"/>
          <w:szCs w:val="28"/>
        </w:rPr>
        <w:br w:type="page"/>
      </w:r>
    </w:p>
    <w:p>
      <w:pPr>
        <w:spacing w:beforeLines="50" w:afterLines="50"/>
        <w:jc w:val="center"/>
        <w:rPr>
          <w:b/>
          <w:sz w:val="36"/>
          <w:szCs w:val="36"/>
        </w:rPr>
      </w:pPr>
      <w:r>
        <w:rPr>
          <w:rFonts w:hint="eastAsia"/>
          <w:b/>
          <w:sz w:val="36"/>
          <w:szCs w:val="36"/>
          <w:u w:val="single"/>
        </w:rPr>
        <w:t>（院务公开管理）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院务公开管理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《卫生部关于全面推行医院院务公开的指导意见》卫医发[2006]428号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天津市滨海新区海滨人民医院医院办公室（安全环保部）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医院办公室（安全环保部）负责院务公开的管理和监督，其他职能部室负责具体实施。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医院办公室（安全环保部）牵头制定院务公开目录及工作监督，其他职能部室利用医院网站、微信公众号、电子大屏幕、公示栏和自动办公系统等多种形式对社会、患者和内部员工进行院务公开。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院务公开的内容、项目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按照《卫生部关于全面推行医院院务公开的指导意见》执行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jc w:val="left"/>
        <w:rPr>
          <w:sz w:val="28"/>
          <w:szCs w:val="28"/>
        </w:rPr>
      </w:pPr>
      <w:r>
        <w:rPr>
          <w:sz w:val="28"/>
          <w:szCs w:val="28"/>
        </w:rPr>
        <w:br w:type="page"/>
      </w:r>
    </w:p>
    <w:p>
      <w:pPr>
        <w:spacing w:beforeLines="50" w:afterLines="50"/>
        <w:jc w:val="center"/>
        <w:rPr>
          <w:b/>
          <w:sz w:val="36"/>
          <w:szCs w:val="36"/>
        </w:rPr>
      </w:pPr>
      <w:r>
        <w:rPr>
          <w:rFonts w:hint="eastAsia"/>
          <w:b/>
          <w:sz w:val="36"/>
          <w:szCs w:val="36"/>
          <w:u w:val="single"/>
        </w:rPr>
        <w:t>（突发事件的应急管理）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突发事件的应急管理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2"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1、《中华人民共和国突发事件应对法》（中华人民共和国主席令第69号）第二十二条、第二十四条、第五十六条</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2、《突发公共卫生事件应急条例》（2003年5月9日中华人民共和国国务院令第376号公布 根据2011年1月8日《国务院</w:t>
            </w:r>
            <w:r>
              <w:fldChar w:fldCharType="begin"/>
            </w:r>
            <w:r>
              <w:instrText xml:space="preserve"> HYPERLINK "http://law1.law-star.com/law?fn=7B633A4701541DBFB7E00C26E1C59771&amp;dbt=chl" \t "_blank" </w:instrText>
            </w:r>
            <w:r>
              <w:fldChar w:fldCharType="separate"/>
            </w:r>
            <w:r>
              <w:rPr>
                <w:rFonts w:hint="eastAsia" w:ascii="仿宋_GB2312" w:hAnsi="仿宋" w:eastAsia="仿宋_GB2312" w:cs="宋体"/>
                <w:kern w:val="0"/>
                <w:sz w:val="32"/>
                <w:szCs w:val="30"/>
              </w:rPr>
              <w:t>关于废止和修改部分行政法规的决定</w:t>
            </w:r>
            <w:r>
              <w:rPr>
                <w:rFonts w:hint="eastAsia" w:ascii="仿宋_GB2312" w:hAnsi="仿宋" w:eastAsia="仿宋_GB2312" w:cs="宋体"/>
                <w:kern w:val="0"/>
                <w:sz w:val="32"/>
                <w:szCs w:val="30"/>
              </w:rPr>
              <w:fldChar w:fldCharType="end"/>
            </w:r>
            <w:r>
              <w:rPr>
                <w:rFonts w:hint="eastAsia" w:ascii="仿宋_GB2312" w:hAnsi="仿宋" w:eastAsia="仿宋_GB2312" w:cs="宋体"/>
                <w:kern w:val="0"/>
                <w:sz w:val="32"/>
                <w:szCs w:val="30"/>
              </w:rPr>
              <w:t>》修订）（第十九条、第二十条、第三十九条、第四十二条、第四十四条）</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3、中华人民共和国传染病防治法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天津市滨海新区海滨人民医院医院办公室（安全环保部）、医务科教部（医学伦理办公室）、医院感染管理部（公共卫生管理部）、物资装备部（综合保障部）。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医院办公室（安全环保部）负责突发事件的</w:t>
            </w:r>
            <w:r>
              <w:rPr>
                <w:rFonts w:ascii="仿宋_GB2312" w:hAnsi="仿宋" w:eastAsia="仿宋_GB2312" w:cs="宋体"/>
                <w:kern w:val="0"/>
                <w:sz w:val="32"/>
                <w:szCs w:val="30"/>
              </w:rPr>
              <w:t>应急管理及应急行动工作的统一组织与协调</w:t>
            </w:r>
            <w:r>
              <w:rPr>
                <w:rFonts w:hint="eastAsia" w:ascii="仿宋_GB2312" w:hAnsi="仿宋" w:eastAsia="仿宋_GB2312" w:cs="宋体"/>
                <w:kern w:val="0"/>
                <w:sz w:val="32"/>
                <w:szCs w:val="30"/>
              </w:rPr>
              <w:t>；医务科教部（医学伦理办公室）医院感染管理部（公共卫生管理部）、物资装备部（综合保障部）承担医疗救援、院感防控、公共卫生、物资保障、应急抢险等管理职责；其他各科室负责具体实施工作。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单位发生突发事件上报，启动相关应急预案，应急解除后进行总结分析及事故调查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医院相关体系文件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制定突发事件的应急预案、培训、演练、分析与评价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9"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jc w:val="left"/>
        <w:rPr>
          <w:sz w:val="28"/>
          <w:szCs w:val="28"/>
        </w:rPr>
      </w:pPr>
      <w:r>
        <w:rPr>
          <w:sz w:val="28"/>
          <w:szCs w:val="28"/>
        </w:rPr>
        <w:br w:type="page"/>
      </w:r>
    </w:p>
    <w:p>
      <w:pPr>
        <w:tabs>
          <w:tab w:val="left" w:pos="895"/>
        </w:tabs>
        <w:jc w:val="center"/>
        <w:rPr>
          <w:rFonts w:cs="Times New Roman"/>
        </w:rPr>
      </w:pPr>
      <w:r>
        <w:rPr>
          <w:rFonts w:hint="eastAsia" w:ascii="仿宋" w:hAnsi="仿宋" w:eastAsia="仿宋" w:cs="仿宋"/>
          <w:b/>
          <w:bCs/>
          <w:color w:val="000000"/>
          <w:kern w:val="0"/>
          <w:sz w:val="36"/>
          <w:szCs w:val="36"/>
          <w:u w:val="single"/>
        </w:rPr>
        <w:t>（传染病疫情报告）</w:t>
      </w:r>
      <w:r>
        <w:rPr>
          <w:rFonts w:hint="eastAsia" w:ascii="仿宋" w:hAnsi="仿宋" w:eastAsia="仿宋" w:cs="仿宋"/>
          <w:b/>
          <w:bCs/>
          <w:color w:val="000000"/>
          <w:kern w:val="0"/>
          <w:sz w:val="36"/>
          <w:szCs w:val="36"/>
        </w:rPr>
        <w:t>信息表</w:t>
      </w:r>
    </w:p>
    <w:tbl>
      <w:tblPr>
        <w:tblStyle w:val="4"/>
        <w:tblW w:w="8675" w:type="dxa"/>
        <w:tblInd w:w="-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2155"/>
        <w:gridCol w:w="65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58" w:hRule="atLeast"/>
        </w:trPr>
        <w:tc>
          <w:tcPr>
            <w:tcW w:w="2155"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520" w:type="dxa"/>
            <w:vAlign w:val="center"/>
          </w:tcPr>
          <w:p>
            <w:pPr>
              <w:snapToGrid w:val="0"/>
              <w:spacing w:line="52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49" w:hRule="atLeast"/>
        </w:trPr>
        <w:tc>
          <w:tcPr>
            <w:tcW w:w="2155"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520" w:type="dxa"/>
            <w:vAlign w:val="center"/>
          </w:tcPr>
          <w:p>
            <w:pPr>
              <w:snapToGrid w:val="0"/>
              <w:spacing w:line="44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传染病疫情报告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015" w:hRule="atLeast"/>
        </w:trPr>
        <w:tc>
          <w:tcPr>
            <w:tcW w:w="2155"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520" w:type="dxa"/>
            <w:vAlign w:val="center"/>
          </w:tcPr>
          <w:p>
            <w:pPr>
              <w:snapToGrid w:val="0"/>
              <w:spacing w:line="44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《中华人民共和国传染病防治法》（全国人大常委会1989年2月21日通过2004年8月28日修订）第二十一条</w:t>
            </w:r>
          </w:p>
          <w:p>
            <w:pPr>
              <w:snapToGrid w:val="0"/>
              <w:spacing w:line="44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《中华人民共和国传染病防治法》第十二条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67" w:hRule="atLeast"/>
        </w:trPr>
        <w:tc>
          <w:tcPr>
            <w:tcW w:w="2155"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520" w:type="dxa"/>
            <w:vAlign w:val="center"/>
          </w:tcPr>
          <w:p>
            <w:pPr>
              <w:snapToGrid w:val="0"/>
              <w:spacing w:line="44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天津市滨海新区海滨人民医院医院感染管理部（公共卫生管理部）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67" w:hRule="atLeast"/>
        </w:trPr>
        <w:tc>
          <w:tcPr>
            <w:tcW w:w="2155"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520" w:type="dxa"/>
            <w:vAlign w:val="center"/>
          </w:tcPr>
          <w:p>
            <w:pPr>
              <w:snapToGrid w:val="0"/>
              <w:spacing w:line="44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天津市滨海新区海滨人民医院医院感染管理部（公共卫生管理部）为主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695" w:hRule="atLeast"/>
        </w:trPr>
        <w:tc>
          <w:tcPr>
            <w:tcW w:w="2155"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520" w:type="dxa"/>
            <w:vAlign w:val="center"/>
          </w:tcPr>
          <w:p>
            <w:pPr>
              <w:snapToGrid w:val="0"/>
              <w:spacing w:line="44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来本院就诊患者由门诊护士进行初步鉴诊，在门诊导诊台进行一般情况登记，由护士引导相应诊室就诊，就诊医师进行临床诊断，确诊为需要报疫的传染病，立即填写疫情报告卡。医院感染管理部（公共卫生管理部）每日对上报疫情进行审核、网络直报，诊断未明者定期进行订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55" w:hRule="atLeast"/>
        </w:trPr>
        <w:tc>
          <w:tcPr>
            <w:tcW w:w="2155"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520" w:type="dxa"/>
            <w:vAlign w:val="center"/>
          </w:tcPr>
          <w:p>
            <w:pPr>
              <w:snapToGrid w:val="0"/>
              <w:spacing w:line="44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门诊日志、出入院患者日志、放射检验结果查询、化验结果为阳性的信息查询、传染病报告卡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2" w:hRule="atLeast"/>
        </w:trPr>
        <w:tc>
          <w:tcPr>
            <w:tcW w:w="2155"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520" w:type="dxa"/>
            <w:vAlign w:val="center"/>
          </w:tcPr>
          <w:p>
            <w:pPr>
              <w:snapToGrid w:val="0"/>
              <w:spacing w:line="44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1.传染病报告实行首诊负责制2.发现传染病患者，在有效时限内进行院内网络报告3.执行传染病预检分诊制度，严格个人防护及消毒工作4.维护患者知情权及个人隐私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80" w:hRule="atLeast"/>
        </w:trPr>
        <w:tc>
          <w:tcPr>
            <w:tcW w:w="2155"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520" w:type="dxa"/>
            <w:vAlign w:val="center"/>
          </w:tcPr>
          <w:p>
            <w:pPr>
              <w:snapToGrid w:val="0"/>
              <w:spacing w:line="44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snapToGrid w:val="0"/>
              <w:spacing w:line="440" w:lineRule="exact"/>
              <w:jc w:val="left"/>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sz w:val="28"/>
          <w:szCs w:val="28"/>
        </w:rPr>
      </w:pPr>
      <w:r>
        <w:rPr>
          <w:sz w:val="28"/>
          <w:szCs w:val="28"/>
        </w:rPr>
        <w:br w:type="page"/>
      </w:r>
    </w:p>
    <w:p>
      <w:pPr>
        <w:spacing w:beforeLines="50" w:afterLines="50"/>
        <w:jc w:val="center"/>
        <w:rPr>
          <w:b/>
          <w:sz w:val="36"/>
          <w:szCs w:val="36"/>
        </w:rPr>
      </w:pPr>
      <w:r>
        <w:rPr>
          <w:rFonts w:hint="eastAsia" w:ascii="仿宋" w:hAnsi="仿宋" w:eastAsia="仿宋" w:cs="仿宋"/>
          <w:b/>
          <w:bCs/>
          <w:color w:val="000000"/>
          <w:kern w:val="0"/>
          <w:sz w:val="36"/>
          <w:szCs w:val="36"/>
          <w:u w:val="single"/>
        </w:rPr>
        <w:t>（宣传和教育）信息表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shd w:val="clear" w:color="auto" w:fill="auto"/>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shd w:val="clear" w:color="auto" w:fill="auto"/>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宣传和教育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shd w:val="clear" w:color="auto" w:fill="auto"/>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原卫生部《关于印发医疗机构从业人员行为规范的通知》第十一条乐于奉献，热心公益。积极参加上级安排的指令性医疗任务和社会公益性的扶贫、义诊、助残、支农、援外等活动，主动开展公众健康教育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shd w:val="clear" w:color="auto" w:fill="auto"/>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天津市滨海新区海滨人民医院医院感染管理部（公共卫生管理部）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shd w:val="clear" w:color="auto" w:fill="auto"/>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医院感染管理部（公共卫生管理部），各临床及职能科室配合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shd w:val="clear" w:color="auto" w:fill="auto"/>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健康宣教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shd w:val="clear" w:color="auto" w:fill="auto"/>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LED大屏幕、宣传栏、展板、微信公众号、健康教育宣传取阅栏、宣传册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shd w:val="clear" w:color="auto" w:fill="auto"/>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left"/>
        <w:rPr>
          <w:b/>
          <w:sz w:val="28"/>
          <w:szCs w:val="28"/>
          <w:u w:val="single"/>
        </w:rPr>
      </w:pPr>
      <w:r>
        <w:rPr>
          <w:b/>
          <w:sz w:val="28"/>
          <w:szCs w:val="28"/>
          <w:u w:val="single"/>
        </w:rPr>
        <w:br w:type="page"/>
      </w:r>
    </w:p>
    <w:p>
      <w:pPr>
        <w:jc w:val="center"/>
        <w:rPr>
          <w:rFonts w:cs="Times New Roman"/>
        </w:rPr>
      </w:pPr>
      <w:r>
        <w:rPr>
          <w:rFonts w:hint="eastAsia" w:ascii="仿宋" w:hAnsi="仿宋" w:eastAsia="仿宋" w:cs="仿宋"/>
          <w:b/>
          <w:bCs/>
          <w:color w:val="000000"/>
          <w:kern w:val="0"/>
          <w:sz w:val="36"/>
          <w:szCs w:val="36"/>
          <w:u w:val="single"/>
        </w:rPr>
        <w:t>（控烟巡查劝阻和宣教）</w:t>
      </w:r>
      <w:r>
        <w:rPr>
          <w:rFonts w:hint="eastAsia" w:ascii="仿宋" w:hAnsi="仿宋" w:eastAsia="仿宋" w:cs="仿宋"/>
          <w:b/>
          <w:bCs/>
          <w:color w:val="000000"/>
          <w:kern w:val="0"/>
          <w:sz w:val="36"/>
          <w:szCs w:val="36"/>
        </w:rPr>
        <w:t>信息表</w:t>
      </w:r>
    </w:p>
    <w:tbl>
      <w:tblPr>
        <w:tblStyle w:val="4"/>
        <w:tblW w:w="8400" w:type="dxa"/>
        <w:tblInd w:w="-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716"/>
        <w:gridCol w:w="66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84" w:hRule="atLeast"/>
        </w:trPr>
        <w:tc>
          <w:tcPr>
            <w:tcW w:w="1716"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684"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84" w:hRule="atLeast"/>
        </w:trPr>
        <w:tc>
          <w:tcPr>
            <w:tcW w:w="1716"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684"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控烟巡查劝阻和宣教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701" w:hRule="atLeast"/>
        </w:trPr>
        <w:tc>
          <w:tcPr>
            <w:tcW w:w="1716"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684"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《天津市控制吸烟条例》第六、十、十四、十八条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701" w:hRule="atLeast"/>
        </w:trPr>
        <w:tc>
          <w:tcPr>
            <w:tcW w:w="1716"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684"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天津市滨海新区海滨人民医院医院感染管理部（公共卫生管理部）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701" w:hRule="atLeast"/>
        </w:trPr>
        <w:tc>
          <w:tcPr>
            <w:tcW w:w="1716"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684"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天津市滨海新区海滨人民医院医院感染管理部（公共卫生管理部）为主，医院办公室（安全环保部）协助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701" w:hRule="atLeast"/>
        </w:trPr>
        <w:tc>
          <w:tcPr>
            <w:tcW w:w="1716"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684"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医院室内区域禁止吸烟。医院内设置的商店不得销售烟草制品。医院应当开展控制吸烟的宣传教育活动，设立戒烟门诊服务。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134" w:hRule="atLeast"/>
        </w:trPr>
        <w:tc>
          <w:tcPr>
            <w:tcW w:w="1716"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684"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戒烟门诊、禁止吸烟标识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134" w:hRule="atLeast"/>
        </w:trPr>
        <w:tc>
          <w:tcPr>
            <w:tcW w:w="1716"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684"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701" w:hRule="atLeast"/>
        </w:trPr>
        <w:tc>
          <w:tcPr>
            <w:tcW w:w="1716"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684"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电话号码：022-25924213</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电子邮箱：dgytzyy@163.com</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（医院感染管理）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医院感染管理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《医院感染管理办法》《医疗机构消毒技术规范》《医院消毒卫生标准》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医院感染管理部（公共卫生管理部）为主，医务科教部、护理部、临床科室协助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1、临床科室上报；2.医院感染管理部审核；3.确诊医院感染病例上报感染质控；4.消毒隔离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感染病例的上报和监测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（安全生产管理）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11.1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安全生产管理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1、中华人民共和国安全生产法</w:t>
            </w:r>
          </w:p>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2、中华人民共和国特种设备安全法（中华人民共和国主席令第4号）第八条、第十一条、第十三条、第十四条、第十五条、第三十二条、第三十三条、第三十四条、第三十九条、第七十条</w:t>
            </w:r>
          </w:p>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3、危险化学品安全管理条例（国务院令第591号）第四条、第二十条、第二十一条、第二十四条、第二十五条、第二十六条、第二十八条、第七十条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天津市滨海新区海滨人民医院医院办公室（安全环保部）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医院办公室（安全环保部）负责对医院安全生产工作的管理和监督，其他各科室配合开展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医院办公室（安全环保部）组织，落实，监督，管理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医院相关体系文件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制定安全生产管理制度，特种作业项目、特种设备、危险化学品及风险识别等安全生产工作的监督检查和隐患管理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widowControl/>
              <w:snapToGrid w:val="0"/>
              <w:spacing w:line="44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center"/>
        <w:rPr>
          <w:b/>
          <w:sz w:val="36"/>
          <w:szCs w:val="36"/>
          <w:u w:val="single"/>
        </w:rPr>
      </w:pPr>
      <w:r>
        <w:rPr>
          <w:b/>
          <w:sz w:val="36"/>
          <w:szCs w:val="36"/>
          <w:u w:val="single"/>
        </w:rPr>
        <w:br w:type="page"/>
      </w:r>
    </w:p>
    <w:p>
      <w:pPr>
        <w:spacing w:beforeLines="50" w:afterLines="50"/>
        <w:jc w:val="center"/>
        <w:rPr>
          <w:b/>
          <w:sz w:val="36"/>
          <w:szCs w:val="36"/>
        </w:rPr>
      </w:pPr>
      <w:r>
        <w:rPr>
          <w:rFonts w:hint="eastAsia"/>
          <w:b/>
          <w:sz w:val="36"/>
          <w:szCs w:val="36"/>
          <w:u w:val="single"/>
        </w:rPr>
        <w:t>（消防安全管理）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消防安全管理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1.《中华人民共和国消防法》（第五条、第十六条、第十七条）</w:t>
            </w:r>
          </w:p>
          <w:p>
            <w:pPr>
              <w:widowControl/>
              <w:snapToGrid w:val="0"/>
              <w:spacing w:line="520" w:lineRule="exac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2.《医疗机构消防安全管理九项规定》（国卫办发[2020]1号）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天津市滨海新区海滨人民医院医院办公室（安全环保部）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医院办公室（安全环保部）负责对医院消防安全的管理和监督，其他各科室配合开展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医院办公室（安全环保部）组织，落实，管理，监督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医院相关体系文件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严格落实消防安全政策法规，制定并完善医院消防设施及规章制度；对全院进行消防安全知识培训；制定消防应急预案，组织日常演练；负责医院的消防安全监督管理。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center"/>
        <w:rPr>
          <w:b/>
          <w:sz w:val="36"/>
          <w:szCs w:val="36"/>
          <w:u w:val="single"/>
        </w:rPr>
      </w:pPr>
      <w:r>
        <w:rPr>
          <w:b/>
          <w:sz w:val="36"/>
          <w:szCs w:val="36"/>
          <w:u w:val="single"/>
        </w:rPr>
        <w:br w:type="page"/>
      </w:r>
    </w:p>
    <w:p>
      <w:pPr>
        <w:spacing w:beforeLines="50" w:afterLines="50"/>
        <w:jc w:val="center"/>
        <w:rPr>
          <w:b/>
          <w:sz w:val="36"/>
          <w:szCs w:val="36"/>
        </w:rPr>
      </w:pPr>
      <w:r>
        <w:rPr>
          <w:rFonts w:hint="eastAsia"/>
          <w:b/>
          <w:sz w:val="36"/>
          <w:szCs w:val="36"/>
          <w:u w:val="single"/>
        </w:rPr>
        <w:t>（治安保卫管理）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11.3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治安保卫管理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2"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widowControl/>
              <w:snapToGrid w:val="0"/>
              <w:spacing w:line="48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1、</w:t>
            </w:r>
            <w:r>
              <w:rPr>
                <w:rFonts w:ascii="仿宋_GB2312" w:hAnsi="仿宋" w:eastAsia="仿宋_GB2312" w:cs="宋体"/>
                <w:kern w:val="0"/>
                <w:sz w:val="32"/>
                <w:szCs w:val="30"/>
              </w:rPr>
              <w:t>《企业事业单位内部治安保卫条例》（国务院令第421号）</w:t>
            </w:r>
            <w:r>
              <w:rPr>
                <w:rFonts w:hint="eastAsia" w:ascii="仿宋_GB2312" w:hAnsi="仿宋" w:eastAsia="仿宋_GB2312" w:cs="宋体"/>
                <w:kern w:val="0"/>
                <w:sz w:val="32"/>
                <w:szCs w:val="30"/>
              </w:rPr>
              <w:t>（</w:t>
            </w:r>
            <w:r>
              <w:rPr>
                <w:rFonts w:ascii="仿宋_GB2312" w:hAnsi="仿宋" w:eastAsia="仿宋_GB2312" w:cs="宋体"/>
                <w:kern w:val="0"/>
                <w:sz w:val="32"/>
                <w:szCs w:val="30"/>
              </w:rPr>
              <w:t>第五条</w:t>
            </w:r>
            <w:r>
              <w:rPr>
                <w:rFonts w:hint="eastAsia" w:ascii="仿宋_GB2312" w:hAnsi="仿宋" w:eastAsia="仿宋_GB2312" w:cs="宋体"/>
                <w:kern w:val="0"/>
                <w:sz w:val="32"/>
                <w:szCs w:val="30"/>
              </w:rPr>
              <w:t>、</w:t>
            </w:r>
            <w:r>
              <w:rPr>
                <w:rFonts w:ascii="仿宋_GB2312" w:hAnsi="仿宋" w:eastAsia="仿宋_GB2312" w:cs="宋体"/>
                <w:kern w:val="0"/>
                <w:sz w:val="32"/>
                <w:szCs w:val="30"/>
              </w:rPr>
              <w:t>第六条</w:t>
            </w:r>
            <w:r>
              <w:rPr>
                <w:rFonts w:hint="eastAsia" w:ascii="仿宋_GB2312" w:hAnsi="仿宋" w:eastAsia="仿宋_GB2312" w:cs="宋体"/>
                <w:kern w:val="0"/>
                <w:sz w:val="32"/>
                <w:szCs w:val="30"/>
              </w:rPr>
              <w:t>、</w:t>
            </w:r>
            <w:r>
              <w:rPr>
                <w:rFonts w:ascii="仿宋_GB2312" w:hAnsi="仿宋" w:eastAsia="仿宋_GB2312" w:cs="宋体"/>
                <w:kern w:val="0"/>
                <w:sz w:val="32"/>
                <w:szCs w:val="30"/>
              </w:rPr>
              <w:t>第七条</w:t>
            </w:r>
            <w:r>
              <w:rPr>
                <w:rFonts w:hint="eastAsia" w:ascii="仿宋_GB2312" w:hAnsi="仿宋" w:eastAsia="仿宋_GB2312" w:cs="宋体"/>
                <w:kern w:val="0"/>
                <w:sz w:val="32"/>
                <w:szCs w:val="30"/>
              </w:rPr>
              <w:t>、</w:t>
            </w:r>
            <w:r>
              <w:rPr>
                <w:rFonts w:ascii="仿宋_GB2312" w:hAnsi="仿宋" w:eastAsia="仿宋_GB2312" w:cs="宋体"/>
                <w:kern w:val="0"/>
                <w:sz w:val="32"/>
                <w:szCs w:val="30"/>
              </w:rPr>
              <w:t>第十一条</w:t>
            </w:r>
            <w:r>
              <w:rPr>
                <w:rFonts w:hint="eastAsia" w:ascii="仿宋_GB2312" w:hAnsi="仿宋" w:eastAsia="仿宋_GB2312" w:cs="宋体"/>
                <w:kern w:val="0"/>
                <w:sz w:val="32"/>
                <w:szCs w:val="30"/>
              </w:rPr>
              <w:t>）</w:t>
            </w:r>
          </w:p>
          <w:p>
            <w:pPr>
              <w:widowControl/>
              <w:snapToGrid w:val="0"/>
              <w:spacing w:line="48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2、</w:t>
            </w:r>
            <w:r>
              <w:rPr>
                <w:rFonts w:ascii="仿宋_GB2312" w:hAnsi="仿宋" w:eastAsia="仿宋_GB2312" w:cs="宋体"/>
                <w:kern w:val="0"/>
                <w:sz w:val="32"/>
                <w:szCs w:val="30"/>
              </w:rPr>
              <w:t>《</w:t>
            </w:r>
            <w:r>
              <w:rPr>
                <w:rFonts w:hint="eastAsia" w:ascii="仿宋_GB2312" w:hAnsi="仿宋" w:eastAsia="仿宋_GB2312" w:cs="宋体"/>
                <w:kern w:val="0"/>
                <w:sz w:val="32"/>
                <w:szCs w:val="30"/>
              </w:rPr>
              <w:t>天津市医院安全秩序管理条例</w:t>
            </w:r>
            <w:r>
              <w:rPr>
                <w:rFonts w:ascii="仿宋_GB2312" w:hAnsi="仿宋" w:eastAsia="仿宋_GB2312" w:cs="宋体"/>
                <w:kern w:val="0"/>
                <w:sz w:val="32"/>
                <w:szCs w:val="30"/>
              </w:rPr>
              <w:t>》</w:t>
            </w:r>
            <w:r>
              <w:rPr>
                <w:rFonts w:hint="eastAsia" w:ascii="仿宋_GB2312" w:hAnsi="仿宋" w:eastAsia="仿宋_GB2312" w:cs="宋体"/>
                <w:kern w:val="0"/>
                <w:sz w:val="32"/>
                <w:szCs w:val="30"/>
              </w:rPr>
              <w:t>（2017年1月9日天津市第十六届人民代表大会常务委员会第三十三次会议通过）（第八条、第九条、第十条、第十一条、第十二条、第十三条、第十四条、第十五条）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widowControl/>
              <w:snapToGrid w:val="0"/>
              <w:spacing w:line="48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天津市滨海新区海滨人民医院医院办公室（安全环保部）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widowControl/>
              <w:snapToGrid w:val="0"/>
              <w:spacing w:line="48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医院办公室（安全环保部）负责对医院治安保卫工作的管理和监督，其他各科室配合开展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widowControl/>
              <w:snapToGrid w:val="0"/>
              <w:spacing w:line="48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医院办公室（安全环保部）组织，落实，管理，监督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widowControl/>
              <w:snapToGrid w:val="0"/>
              <w:spacing w:line="48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医院相关体系文件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widowControl/>
              <w:snapToGrid w:val="0"/>
              <w:spacing w:line="480" w:lineRule="exact"/>
              <w:jc w:val="left"/>
              <w:textAlignment w:val="center"/>
              <w:rPr>
                <w:rFonts w:ascii="仿宋_GB2312" w:hAnsi="仿宋" w:eastAsia="仿宋_GB2312" w:cs="宋体"/>
                <w:kern w:val="0"/>
                <w:sz w:val="32"/>
                <w:szCs w:val="30"/>
              </w:rPr>
            </w:pPr>
            <w:r>
              <w:rPr>
                <w:rFonts w:ascii="仿宋_GB2312" w:hAnsi="仿宋" w:eastAsia="仿宋_GB2312" w:cs="宋体"/>
                <w:kern w:val="0"/>
                <w:sz w:val="32"/>
                <w:szCs w:val="30"/>
              </w:rPr>
              <w:t>负责医院内部治安保卫体系的建立、运行和管理</w:t>
            </w:r>
            <w:r>
              <w:rPr>
                <w:rFonts w:hint="eastAsia" w:ascii="仿宋_GB2312" w:hAnsi="仿宋" w:eastAsia="仿宋_GB2312" w:cs="宋体"/>
                <w:kern w:val="0"/>
                <w:sz w:val="32"/>
                <w:szCs w:val="30"/>
              </w:rPr>
              <w:t>；</w:t>
            </w:r>
            <w:r>
              <w:rPr>
                <w:rFonts w:ascii="仿宋_GB2312" w:hAnsi="仿宋" w:eastAsia="仿宋_GB2312" w:cs="宋体"/>
                <w:kern w:val="0"/>
                <w:sz w:val="32"/>
                <w:szCs w:val="30"/>
              </w:rPr>
              <w:t>对医院</w:t>
            </w:r>
            <w:r>
              <w:rPr>
                <w:rFonts w:hint="eastAsia" w:ascii="仿宋_GB2312" w:hAnsi="仿宋" w:eastAsia="仿宋_GB2312" w:cs="宋体"/>
                <w:kern w:val="0"/>
                <w:sz w:val="32"/>
                <w:szCs w:val="30"/>
              </w:rPr>
              <w:t>各</w:t>
            </w:r>
            <w:r>
              <w:rPr>
                <w:rFonts w:ascii="仿宋_GB2312" w:hAnsi="仿宋" w:eastAsia="仿宋_GB2312" w:cs="宋体"/>
                <w:kern w:val="0"/>
                <w:sz w:val="32"/>
                <w:szCs w:val="30"/>
              </w:rPr>
              <w:t>单位的内部治安保卫工作进行指导、协调、监督和检查。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center"/>
        <w:rPr>
          <w:b/>
          <w:sz w:val="36"/>
          <w:szCs w:val="36"/>
          <w:u w:val="single"/>
        </w:rPr>
      </w:pPr>
      <w:r>
        <w:rPr>
          <w:b/>
          <w:sz w:val="36"/>
          <w:szCs w:val="36"/>
          <w:u w:val="single"/>
        </w:rPr>
        <w:br w:type="page"/>
      </w:r>
    </w:p>
    <w:p>
      <w:pPr>
        <w:spacing w:beforeLines="50" w:afterLines="50"/>
        <w:jc w:val="center"/>
        <w:rPr>
          <w:b/>
          <w:sz w:val="36"/>
          <w:szCs w:val="36"/>
        </w:rPr>
      </w:pPr>
      <w:r>
        <w:rPr>
          <w:rFonts w:hint="eastAsia"/>
          <w:b/>
          <w:sz w:val="36"/>
          <w:szCs w:val="36"/>
          <w:u w:val="single"/>
        </w:rPr>
        <w:t>（门诊安全秩序管理）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11.4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门诊安全秩序管理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《天津市医院安全秩序管理条例》（第八条、第二十二条、第十七条、第十八条、第十九条）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天津市滨海新区海滨人民医院门诊管理部、安全环保部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天津市滨海新区海滨人民医院门诊管理部、安全环保部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依据《天津市医院安全秩序管理条例》执行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（医疗投诉受理）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12.1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医疗投诉受理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2"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投诉管理办法》第十六条医院应当设立医患关系办公室或指定部门统一承担医院投诉管理工作（以下统称投诉管理部门）。投诉管理部门履行以下职责:（一）统一受理投诉；（二）调查、核实投诉事项，提出处理意见，及时答复投诉人；（三）组织、协调、指导全院的投诉处理工作；（四）定期汇总、分析投诉信息，提出加强与改进工作的意见或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天津市滨海新区海滨人民医院门诊管理部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独立完成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受理-调查-处理-答复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由患方当事人或委托代理人提起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依据《医院投诉管理办法》执行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left"/>
        <w:rPr>
          <w:b/>
          <w:sz w:val="28"/>
          <w:szCs w:val="28"/>
          <w:u w:val="single"/>
        </w:rPr>
      </w:pPr>
      <w:r>
        <w:rPr>
          <w:b/>
          <w:sz w:val="28"/>
          <w:szCs w:val="28"/>
          <w:u w:val="single"/>
        </w:rPr>
        <w:br w:type="page"/>
      </w:r>
    </w:p>
    <w:p>
      <w:pPr>
        <w:spacing w:beforeLines="50" w:afterLines="50"/>
        <w:jc w:val="center"/>
        <w:rPr>
          <w:b/>
          <w:sz w:val="36"/>
          <w:szCs w:val="36"/>
        </w:rPr>
      </w:pPr>
      <w:r>
        <w:rPr>
          <w:rFonts w:hint="eastAsia"/>
          <w:b/>
          <w:sz w:val="36"/>
          <w:szCs w:val="36"/>
          <w:u w:val="single"/>
        </w:rPr>
        <w:t>（医疗投诉处理）</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12.2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医疗投诉处理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35"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bookmarkStart w:id="0" w:name="_GoBack"/>
            <w:bookmarkEnd w:id="0"/>
            <w:r>
              <w:rPr>
                <w:rFonts w:hint="eastAsia" w:ascii="仿宋_GB2312" w:hAnsi="仿宋" w:eastAsia="仿宋_GB2312" w:cs="宋体"/>
                <w:kern w:val="0"/>
                <w:sz w:val="32"/>
                <w:szCs w:val="30"/>
                <w:lang w:eastAsia="zh-CN"/>
              </w:rPr>
              <w:t>《医疗事故处理条例》</w:t>
            </w:r>
            <w:r>
              <w:rPr>
                <w:rFonts w:hint="eastAsia" w:ascii="仿宋_GB2312" w:hAnsi="仿宋" w:eastAsia="仿宋_GB2312" w:cs="宋体"/>
                <w:kern w:val="0"/>
                <w:sz w:val="32"/>
                <w:szCs w:val="30"/>
              </w:rPr>
              <w:t>第七条</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《天津市医疗纠纷处置条例》第十五条</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《医院投诉管理办法》第十六条医院应当设立医患关系办公室或指定部门统一承担医院投诉管理工作（以下统称投诉管理部门）。</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投诉管理部门履行以下职责:（一）统一受理投诉；（二）调查、核实投诉事项，提出处理意见，及时答复投诉人；（三）组织、协调、指导全院的投诉处理工作；（四）定期汇总、分析投诉信息，提出加强与改进工作的意见或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w:t>
            </w:r>
            <w:r>
              <w:rPr>
                <w:rFonts w:ascii="仿宋_GB2312" w:hAnsi="仿宋" w:eastAsia="仿宋_GB2312" w:cs="宋体"/>
                <w:kern w:val="0"/>
                <w:sz w:val="32"/>
                <w:szCs w:val="30"/>
              </w:rPr>
              <w:t>人民医院医务科教部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受理-调查-处理-答复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由患方当事人或起委托代理人提起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依据《医疗纠纷处置条例》《天津市医疗纠纷处置条例》《医院投诉管理办法》执行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spacing w:beforeLines="50" w:afterLines="50"/>
        <w:jc w:val="left"/>
        <w:rPr>
          <w:b/>
          <w:sz w:val="28"/>
          <w:szCs w:val="28"/>
          <w:u w:val="single"/>
        </w:rPr>
      </w:pPr>
      <w:r>
        <w:rPr>
          <w:b/>
          <w:sz w:val="28"/>
          <w:szCs w:val="28"/>
          <w:u w:val="single"/>
        </w:rPr>
        <w:br w:type="page"/>
      </w:r>
    </w:p>
    <w:p>
      <w:pPr>
        <w:spacing w:beforeLines="50" w:afterLines="50"/>
        <w:jc w:val="center"/>
        <w:rPr>
          <w:b/>
          <w:sz w:val="36"/>
          <w:szCs w:val="36"/>
          <w:u w:val="single"/>
        </w:rPr>
      </w:pPr>
      <w:r>
        <w:rPr>
          <w:rFonts w:hint="eastAsia"/>
          <w:b/>
          <w:sz w:val="36"/>
          <w:szCs w:val="36"/>
          <w:u w:val="single"/>
        </w:rPr>
        <w:t>（行风投诉处理 ）</w:t>
      </w:r>
      <w:r>
        <w:rPr>
          <w:rFonts w:hint="eastAsia"/>
          <w:b/>
          <w:sz w:val="36"/>
          <w:szCs w:val="36"/>
        </w:rPr>
        <w:t>信息表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序号</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12.3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名称</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行风投诉处理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9"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法定依据</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执业医师法》第二十二条医师在执业活动中履行下列义务：（一）遵守法律、法规，遵守技术操作规范；（二）树立敬业精神，遵守职业道德，履行医师职责，尽职尽责为患者服务；（三）关心、爱护、尊重患者，保护患者的隐私；（四）努力钻研业务，更新知识，提高专业技术水平；（五）宣传卫生保健知识，对患者进行健康教育。</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《医疗机构管理条例》第二十九条医疗机构应当加强对医务人员的医德教育。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实施机构</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天津市滨海新区海滨人民医院党委办公室（审计办公室）、门诊管理部（投诉受理部）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职责边界</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天津市滨海新区海滨人民医院党委办公室（审计办公室）、门诊管理部（投诉受理部）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运行流程</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受理-调查-处理-答复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运行要件</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由当事人提起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责任事项</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依据《执业医师法》《医疗机构管理条例》执行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jc w:val="center"/>
        </w:trPr>
        <w:tc>
          <w:tcPr>
            <w:tcW w:w="2093" w:type="dxa"/>
            <w:vAlign w:val="center"/>
          </w:tcPr>
          <w:p>
            <w:pPr>
              <w:jc w:val="center"/>
              <w:rPr>
                <w:rFonts w:ascii="方正小标宋简体" w:eastAsia="方正小标宋简体"/>
                <w:sz w:val="30"/>
                <w:szCs w:val="30"/>
              </w:rPr>
            </w:pPr>
            <w:r>
              <w:rPr>
                <w:rFonts w:hint="eastAsia" w:ascii="方正小标宋简体" w:eastAsia="方正小标宋简体"/>
                <w:sz w:val="30"/>
                <w:szCs w:val="30"/>
              </w:rPr>
              <w:t>监督方式</w:t>
            </w:r>
          </w:p>
        </w:tc>
        <w:tc>
          <w:tcPr>
            <w:tcW w:w="6429" w:type="dxa"/>
            <w:vAlign w:val="center"/>
          </w:tcPr>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电话号码：</w:t>
            </w:r>
            <w:r>
              <w:rPr>
                <w:rFonts w:ascii="仿宋_GB2312" w:hAnsi="仿宋" w:eastAsia="仿宋_GB2312" w:cs="宋体"/>
                <w:kern w:val="0"/>
                <w:sz w:val="32"/>
                <w:szCs w:val="30"/>
              </w:rPr>
              <w:t>022-25924213</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电子邮箱：</w:t>
            </w:r>
            <w:r>
              <w:rPr>
                <w:rFonts w:ascii="仿宋_GB2312" w:hAnsi="仿宋" w:eastAsia="仿宋_GB2312" w:cs="宋体"/>
                <w:kern w:val="0"/>
                <w:sz w:val="32"/>
                <w:szCs w:val="30"/>
              </w:rPr>
              <w:t>dgytzyy@163.com</w:t>
            </w:r>
          </w:p>
          <w:p>
            <w:pPr>
              <w:widowControl/>
              <w:snapToGrid w:val="0"/>
              <w:spacing w:line="520" w:lineRule="exact"/>
              <w:jc w:val="left"/>
              <w:textAlignment w:val="center"/>
              <w:rPr>
                <w:rFonts w:ascii="仿宋_GB2312" w:hAnsi="仿宋" w:eastAsia="仿宋_GB2312" w:cs="宋体"/>
                <w:kern w:val="0"/>
                <w:sz w:val="32"/>
                <w:szCs w:val="30"/>
              </w:rPr>
            </w:pPr>
            <w:r>
              <w:rPr>
                <w:rFonts w:hint="eastAsia" w:ascii="仿宋_GB2312" w:hAnsi="仿宋" w:eastAsia="仿宋_GB2312" w:cs="宋体"/>
                <w:kern w:val="0"/>
                <w:sz w:val="32"/>
                <w:szCs w:val="30"/>
              </w:rPr>
              <w:t>地址：天津市滨海新区海滨街幸福路和健安道交口</w:t>
            </w:r>
          </w:p>
        </w:tc>
      </w:tr>
    </w:tbl>
    <w:p>
      <w:pPr>
        <w:widowControl/>
        <w:jc w:val="left"/>
        <w:rPr>
          <w:sz w:val="36"/>
          <w:szCs w:val="36"/>
        </w:rPr>
      </w:pPr>
    </w:p>
    <w:sectPr>
      <w:footerReference r:id="rId3" w:type="default"/>
      <w:pgSz w:w="11906" w:h="16838"/>
      <w:pgMar w:top="1134" w:right="1588" w:bottom="1134" w:left="1588"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等线"/>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IwM2ZmNjE4NDZlOGIzMTg0OGVjY2ZjMTAyNzRlNTIifQ=="/>
  </w:docVars>
  <w:rsids>
    <w:rsidRoot w:val="00A70344"/>
    <w:rsid w:val="00030CE0"/>
    <w:rsid w:val="00042217"/>
    <w:rsid w:val="00047B84"/>
    <w:rsid w:val="000551DA"/>
    <w:rsid w:val="00065684"/>
    <w:rsid w:val="000B6AE8"/>
    <w:rsid w:val="000C1E81"/>
    <w:rsid w:val="000C3F60"/>
    <w:rsid w:val="000E01AA"/>
    <w:rsid w:val="000E18B1"/>
    <w:rsid w:val="00123FC6"/>
    <w:rsid w:val="00130A0F"/>
    <w:rsid w:val="0015090F"/>
    <w:rsid w:val="00161AEF"/>
    <w:rsid w:val="001948BD"/>
    <w:rsid w:val="00196EFA"/>
    <w:rsid w:val="001B42F6"/>
    <w:rsid w:val="001E756F"/>
    <w:rsid w:val="002375A6"/>
    <w:rsid w:val="00247923"/>
    <w:rsid w:val="002543E5"/>
    <w:rsid w:val="002603F9"/>
    <w:rsid w:val="00281851"/>
    <w:rsid w:val="00294F45"/>
    <w:rsid w:val="002A1C3C"/>
    <w:rsid w:val="002A609E"/>
    <w:rsid w:val="002C3486"/>
    <w:rsid w:val="002D1897"/>
    <w:rsid w:val="002F12B3"/>
    <w:rsid w:val="00334411"/>
    <w:rsid w:val="0034223D"/>
    <w:rsid w:val="00357979"/>
    <w:rsid w:val="003D3630"/>
    <w:rsid w:val="003F53DD"/>
    <w:rsid w:val="0046170E"/>
    <w:rsid w:val="00470C83"/>
    <w:rsid w:val="004A0528"/>
    <w:rsid w:val="004A306D"/>
    <w:rsid w:val="004F4E44"/>
    <w:rsid w:val="0050632A"/>
    <w:rsid w:val="00565D68"/>
    <w:rsid w:val="00594F8E"/>
    <w:rsid w:val="005B3DDC"/>
    <w:rsid w:val="005C32EB"/>
    <w:rsid w:val="005F5D8B"/>
    <w:rsid w:val="00602AD4"/>
    <w:rsid w:val="00631EA3"/>
    <w:rsid w:val="00694276"/>
    <w:rsid w:val="006D3FD0"/>
    <w:rsid w:val="006F36C1"/>
    <w:rsid w:val="006F3F5B"/>
    <w:rsid w:val="00700270"/>
    <w:rsid w:val="00715BD2"/>
    <w:rsid w:val="00734D1D"/>
    <w:rsid w:val="00735101"/>
    <w:rsid w:val="007369FD"/>
    <w:rsid w:val="0074048C"/>
    <w:rsid w:val="00754DED"/>
    <w:rsid w:val="00760609"/>
    <w:rsid w:val="00766DAA"/>
    <w:rsid w:val="00770050"/>
    <w:rsid w:val="00780A2B"/>
    <w:rsid w:val="0079149D"/>
    <w:rsid w:val="007950FD"/>
    <w:rsid w:val="007A17A6"/>
    <w:rsid w:val="007F1B92"/>
    <w:rsid w:val="007F793E"/>
    <w:rsid w:val="008152C3"/>
    <w:rsid w:val="00817DA6"/>
    <w:rsid w:val="0083400E"/>
    <w:rsid w:val="0085189A"/>
    <w:rsid w:val="00856D2D"/>
    <w:rsid w:val="008A38DD"/>
    <w:rsid w:val="008B459B"/>
    <w:rsid w:val="008D006F"/>
    <w:rsid w:val="00903BFA"/>
    <w:rsid w:val="00903D03"/>
    <w:rsid w:val="00906581"/>
    <w:rsid w:val="0092260B"/>
    <w:rsid w:val="00936D2B"/>
    <w:rsid w:val="00A06AAA"/>
    <w:rsid w:val="00A20096"/>
    <w:rsid w:val="00A70344"/>
    <w:rsid w:val="00AA7372"/>
    <w:rsid w:val="00AB709F"/>
    <w:rsid w:val="00AD01D6"/>
    <w:rsid w:val="00AE3FC2"/>
    <w:rsid w:val="00AF5039"/>
    <w:rsid w:val="00B62530"/>
    <w:rsid w:val="00BC1978"/>
    <w:rsid w:val="00BC2662"/>
    <w:rsid w:val="00BC5F11"/>
    <w:rsid w:val="00BF2CB5"/>
    <w:rsid w:val="00C040CF"/>
    <w:rsid w:val="00C12AA7"/>
    <w:rsid w:val="00C16D7C"/>
    <w:rsid w:val="00C27C8C"/>
    <w:rsid w:val="00C571A7"/>
    <w:rsid w:val="00C72825"/>
    <w:rsid w:val="00C82822"/>
    <w:rsid w:val="00D027A6"/>
    <w:rsid w:val="00D02A73"/>
    <w:rsid w:val="00D7072C"/>
    <w:rsid w:val="00D7659A"/>
    <w:rsid w:val="00D9751C"/>
    <w:rsid w:val="00DC53CE"/>
    <w:rsid w:val="00DD0B63"/>
    <w:rsid w:val="00DD190B"/>
    <w:rsid w:val="00E17E9E"/>
    <w:rsid w:val="00E23280"/>
    <w:rsid w:val="00E609DC"/>
    <w:rsid w:val="00E73E76"/>
    <w:rsid w:val="00EA0622"/>
    <w:rsid w:val="00F10414"/>
    <w:rsid w:val="00F35DE0"/>
    <w:rsid w:val="00F50373"/>
    <w:rsid w:val="00F57D6C"/>
    <w:rsid w:val="00F81EDD"/>
    <w:rsid w:val="00FA10C9"/>
    <w:rsid w:val="00FB430D"/>
    <w:rsid w:val="00FC1AAF"/>
    <w:rsid w:val="070C05CE"/>
    <w:rsid w:val="117B3070"/>
    <w:rsid w:val="19A1292E"/>
    <w:rsid w:val="249777DE"/>
    <w:rsid w:val="2E0D3C6C"/>
    <w:rsid w:val="31366F38"/>
    <w:rsid w:val="3283579C"/>
    <w:rsid w:val="3A8E3BA6"/>
    <w:rsid w:val="50115129"/>
    <w:rsid w:val="63B9472F"/>
    <w:rsid w:val="678552AC"/>
    <w:rsid w:val="7B3F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55D3C6-1843-4308-B242-1DAB217EC247}">
  <ds:schemaRefs/>
</ds:datastoreItem>
</file>

<file path=docProps/app.xml><?xml version="1.0" encoding="utf-8"?>
<Properties xmlns="http://schemas.openxmlformats.org/officeDocument/2006/extended-properties" xmlns:vt="http://schemas.openxmlformats.org/officeDocument/2006/docPropsVTypes">
  <Template>Normal</Template>
  <Pages>48</Pages>
  <Words>13498</Words>
  <Characters>14968</Characters>
  <Lines>117</Lines>
  <Paragraphs>33</Paragraphs>
  <TotalTime>171</TotalTime>
  <ScaleCrop>false</ScaleCrop>
  <LinksUpToDate>false</LinksUpToDate>
  <CharactersWithSpaces>14983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2021-08-04T02:15:00Z</dcterms:created>
  <dc:creator>于成梅</dc:creator>
  <cp:lastModifiedBy>小风筝_薇</cp:lastModifiedBy>
  <dcterms:modified xsi:type="dcterms:W3CDTF">2023-04-13T00:53:00Z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BF5BCF0DC3AB45E0901E46012087BC77_12</vt:lpwstr>
  </property>
</Properties>
</file>