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743" w:type="dxa"/>
        <w:tblInd w:w="0" w:type="dxa"/>
        <w:shd w:val="clear" w:color="auto" w:fill="auto"/>
        <w:tblLayout w:type="fixed"/>
        <w:tblCellMar>
          <w:top w:w="0" w:type="dxa"/>
          <w:left w:w="0" w:type="dxa"/>
          <w:bottom w:w="0" w:type="dxa"/>
          <w:right w:w="0" w:type="dxa"/>
        </w:tblCellMar>
      </w:tblPr>
      <w:tblGrid>
        <w:gridCol w:w="645"/>
        <w:gridCol w:w="2038"/>
        <w:gridCol w:w="959"/>
        <w:gridCol w:w="3916"/>
        <w:gridCol w:w="1185"/>
      </w:tblGrid>
      <w:tr>
        <w:tblPrEx>
          <w:tblCellMar>
            <w:top w:w="0" w:type="dxa"/>
            <w:left w:w="0" w:type="dxa"/>
            <w:bottom w:w="0" w:type="dxa"/>
            <w:right w:w="0" w:type="dxa"/>
          </w:tblCellMar>
        </w:tblPrEx>
        <w:trPr>
          <w:trHeight w:val="720" w:hRule="atLeast"/>
        </w:trPr>
        <w:tc>
          <w:tcPr>
            <w:tcW w:w="8743" w:type="dxa"/>
            <w:gridSpan w:val="5"/>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default" w:ascii="方正小标宋简体" w:hAnsi="方正小标宋简体" w:eastAsia="方正小标宋简体" w:cs="方正小标宋简体"/>
                <w:i w:val="0"/>
                <w:color w:val="000000"/>
                <w:kern w:val="0"/>
                <w:sz w:val="40"/>
                <w:szCs w:val="40"/>
                <w:u w:val="none"/>
                <w:lang w:val="en-US" w:eastAsia="zh-CN" w:bidi="ar"/>
              </w:rPr>
              <w:t>天津市滨海新区人防指挥信息保障中心职责目录</w:t>
            </w:r>
          </w:p>
        </w:tc>
      </w:tr>
      <w:tr>
        <w:tblPrEx>
          <w:tblCellMar>
            <w:top w:w="0" w:type="dxa"/>
            <w:left w:w="0" w:type="dxa"/>
            <w:bottom w:w="0" w:type="dxa"/>
            <w:right w:w="0" w:type="dxa"/>
          </w:tblCellMar>
        </w:tblPrEx>
        <w:trPr>
          <w:trHeight w:val="600" w:hRule="atLeast"/>
        </w:trPr>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黑体简体" w:hAnsi="方正黑体简体" w:eastAsia="方正黑体简体" w:cs="方正黑体简体"/>
                <w:i w:val="0"/>
                <w:color w:val="000000"/>
                <w:sz w:val="30"/>
                <w:szCs w:val="30"/>
                <w:u w:val="none"/>
              </w:rPr>
            </w:pPr>
            <w:r>
              <w:rPr>
                <w:rFonts w:hint="default" w:ascii="方正黑体简体" w:hAnsi="方正黑体简体" w:eastAsia="方正黑体简体" w:cs="方正黑体简体"/>
                <w:i w:val="0"/>
                <w:color w:val="000000"/>
                <w:kern w:val="0"/>
                <w:sz w:val="30"/>
                <w:szCs w:val="30"/>
                <w:u w:val="none"/>
                <w:lang w:val="en-US" w:eastAsia="zh-CN" w:bidi="ar"/>
              </w:rPr>
              <w:t>序号</w:t>
            </w:r>
          </w:p>
        </w:tc>
        <w:tc>
          <w:tcPr>
            <w:tcW w:w="20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黑体简体" w:hAnsi="方正黑体简体" w:eastAsia="方正黑体简体" w:cs="方正黑体简体"/>
                <w:i w:val="0"/>
                <w:color w:val="000000"/>
                <w:sz w:val="30"/>
                <w:szCs w:val="30"/>
                <w:u w:val="none"/>
              </w:rPr>
            </w:pPr>
            <w:r>
              <w:rPr>
                <w:rFonts w:hint="default" w:ascii="方正黑体简体" w:hAnsi="方正黑体简体" w:eastAsia="方正黑体简体" w:cs="方正黑体简体"/>
                <w:i w:val="0"/>
                <w:color w:val="000000"/>
                <w:kern w:val="0"/>
                <w:sz w:val="30"/>
                <w:szCs w:val="30"/>
                <w:u w:val="none"/>
                <w:lang w:val="en-US" w:eastAsia="zh-CN" w:bidi="ar"/>
              </w:rPr>
              <w:t>主要职责</w:t>
            </w:r>
          </w:p>
        </w:tc>
        <w:tc>
          <w:tcPr>
            <w:tcW w:w="606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黑体简体" w:hAnsi="方正黑体简体" w:eastAsia="方正黑体简体" w:cs="方正黑体简体"/>
                <w:i w:val="0"/>
                <w:color w:val="000000"/>
                <w:sz w:val="30"/>
                <w:szCs w:val="30"/>
                <w:u w:val="none"/>
              </w:rPr>
            </w:pPr>
            <w:r>
              <w:rPr>
                <w:rFonts w:hint="default" w:ascii="方正黑体简体" w:hAnsi="方正黑体简体" w:eastAsia="方正黑体简体" w:cs="方正黑体简体"/>
                <w:i w:val="0"/>
                <w:color w:val="000000"/>
                <w:kern w:val="0"/>
                <w:sz w:val="30"/>
                <w:szCs w:val="30"/>
                <w:u w:val="none"/>
                <w:lang w:val="en-US" w:eastAsia="zh-CN" w:bidi="ar"/>
              </w:rPr>
              <w:t>职责事项</w:t>
            </w:r>
          </w:p>
        </w:tc>
      </w:tr>
      <w:tr>
        <w:tblPrEx>
          <w:tblCellMar>
            <w:top w:w="0" w:type="dxa"/>
            <w:left w:w="0" w:type="dxa"/>
            <w:bottom w:w="0" w:type="dxa"/>
            <w:right w:w="0" w:type="dxa"/>
          </w:tblCellMar>
        </w:tblPrEx>
        <w:trPr>
          <w:trHeight w:val="600" w:hRule="atLeast"/>
        </w:trPr>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黑体简体" w:hAnsi="方正黑体简体" w:eastAsia="方正黑体简体" w:cs="方正黑体简体"/>
                <w:i w:val="0"/>
                <w:color w:val="000000"/>
                <w:sz w:val="30"/>
                <w:szCs w:val="30"/>
                <w:u w:val="none"/>
              </w:rPr>
            </w:pPr>
          </w:p>
        </w:tc>
        <w:tc>
          <w:tcPr>
            <w:tcW w:w="20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方正黑体简体" w:hAnsi="方正黑体简体" w:eastAsia="方正黑体简体" w:cs="方正黑体简体"/>
                <w:i w:val="0"/>
                <w:color w:val="000000"/>
                <w:sz w:val="30"/>
                <w:szCs w:val="30"/>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黑体简体" w:hAnsi="方正黑体简体" w:eastAsia="方正黑体简体" w:cs="方正黑体简体"/>
                <w:i w:val="0"/>
                <w:color w:val="000000"/>
                <w:sz w:val="30"/>
                <w:szCs w:val="30"/>
                <w:u w:val="none"/>
              </w:rPr>
            </w:pPr>
            <w:r>
              <w:rPr>
                <w:rFonts w:hint="default" w:ascii="方正黑体简体" w:hAnsi="方正黑体简体" w:eastAsia="方正黑体简体" w:cs="方正黑体简体"/>
                <w:i w:val="0"/>
                <w:color w:val="000000"/>
                <w:kern w:val="0"/>
                <w:sz w:val="30"/>
                <w:szCs w:val="30"/>
                <w:u w:val="none"/>
                <w:lang w:val="en-US" w:eastAsia="zh-CN" w:bidi="ar"/>
              </w:rPr>
              <w:t>序号</w:t>
            </w:r>
          </w:p>
        </w:tc>
        <w:tc>
          <w:tcPr>
            <w:tcW w:w="3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黑体简体" w:hAnsi="方正黑体简体" w:eastAsia="方正黑体简体" w:cs="方正黑体简体"/>
                <w:i w:val="0"/>
                <w:color w:val="000000"/>
                <w:sz w:val="30"/>
                <w:szCs w:val="30"/>
                <w:u w:val="none"/>
              </w:rPr>
            </w:pPr>
            <w:r>
              <w:rPr>
                <w:rFonts w:hint="default" w:ascii="方正黑体简体" w:hAnsi="方正黑体简体" w:eastAsia="方正黑体简体" w:cs="方正黑体简体"/>
                <w:i w:val="0"/>
                <w:color w:val="000000"/>
                <w:kern w:val="0"/>
                <w:sz w:val="30"/>
                <w:szCs w:val="30"/>
                <w:u w:val="none"/>
                <w:lang w:val="en-US" w:eastAsia="zh-CN" w:bidi="ar"/>
              </w:rPr>
              <w:t>名称</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黑体简体" w:hAnsi="方正黑体简体" w:eastAsia="方正黑体简体" w:cs="方正黑体简体"/>
                <w:i w:val="0"/>
                <w:color w:val="000000"/>
                <w:sz w:val="30"/>
                <w:szCs w:val="30"/>
                <w:u w:val="none"/>
              </w:rPr>
            </w:pPr>
            <w:r>
              <w:rPr>
                <w:rFonts w:hint="default" w:ascii="方正黑体简体" w:hAnsi="方正黑体简体" w:eastAsia="方正黑体简体" w:cs="方正黑体简体"/>
                <w:i w:val="0"/>
                <w:color w:val="000000"/>
                <w:kern w:val="0"/>
                <w:sz w:val="30"/>
                <w:szCs w:val="30"/>
                <w:u w:val="none"/>
                <w:lang w:val="en-US" w:eastAsia="zh-CN" w:bidi="ar"/>
              </w:rPr>
              <w:t>页码</w:t>
            </w:r>
          </w:p>
        </w:tc>
      </w:tr>
      <w:tr>
        <w:tblPrEx>
          <w:shd w:val="clear" w:color="auto" w:fill="auto"/>
          <w:tblCellMar>
            <w:top w:w="0" w:type="dxa"/>
            <w:left w:w="0" w:type="dxa"/>
            <w:bottom w:w="0" w:type="dxa"/>
            <w:right w:w="0" w:type="dxa"/>
          </w:tblCellMar>
        </w:tblPrEx>
        <w:trPr>
          <w:trHeight w:val="176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保障区领导实施防空应急指挥</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3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人防指挥保障</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CellMar>
            <w:top w:w="0" w:type="dxa"/>
            <w:left w:w="0" w:type="dxa"/>
            <w:bottom w:w="0" w:type="dxa"/>
            <w:right w:w="0" w:type="dxa"/>
          </w:tblCellMar>
        </w:tblPrEx>
        <w:trPr>
          <w:trHeight w:val="1900" w:hRule="atLeast"/>
        </w:trPr>
        <w:tc>
          <w:tcPr>
            <w:tcW w:w="645" w:type="dxa"/>
            <w:vMerge w:val="restart"/>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03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承担本区战时防空、平时防灾的应急和人防系统日常通信保障任务</w:t>
            </w:r>
          </w:p>
        </w:tc>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391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人防通信保障</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CellMar>
            <w:top w:w="0" w:type="dxa"/>
            <w:left w:w="0" w:type="dxa"/>
            <w:bottom w:w="0" w:type="dxa"/>
            <w:right w:w="0" w:type="dxa"/>
          </w:tblCellMar>
        </w:tblPrEx>
        <w:trPr>
          <w:trHeight w:val="2100" w:hRule="atLeast"/>
        </w:trPr>
        <w:tc>
          <w:tcPr>
            <w:tcW w:w="645" w:type="dxa"/>
            <w:vMerge w:val="continue"/>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03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9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4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承担本区人防通信和警报设施设备，人防指挥所维护管理的事务性工作</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391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人防通信和警报设施设备，人防指挥所维护管理</w:t>
            </w:r>
          </w:p>
        </w:tc>
        <w:tc>
          <w:tcPr>
            <w:tcW w:w="11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bl>
    <w:p/>
    <w:p/>
    <w:p/>
    <w:p/>
    <w:p/>
    <w:p/>
    <w:p/>
    <w:p>
      <w:pPr>
        <w:keepNext w:val="0"/>
        <w:keepLines w:val="0"/>
        <w:widowControl/>
        <w:suppressLineNumbers w:val="0"/>
        <w:jc w:val="center"/>
        <w:textAlignment w:val="center"/>
        <w:rPr>
          <w:rFonts w:hint="default" w:ascii="微软简标宋" w:hAnsi="微软简标宋" w:eastAsia="微软简标宋" w:cs="微软简标宋"/>
          <w:i w:val="0"/>
          <w:color w:val="000000"/>
          <w:kern w:val="0"/>
          <w:sz w:val="32"/>
          <w:szCs w:val="32"/>
          <w:u w:val="none"/>
          <w:lang w:val="en-US" w:eastAsia="zh-CN" w:bidi="ar"/>
        </w:rPr>
        <w:sectPr>
          <w:footerReference r:id="rId3" w:type="default"/>
          <w:pgSz w:w="11906" w:h="16838"/>
          <w:pgMar w:top="1440" w:right="1800" w:bottom="1440" w:left="1800" w:header="851" w:footer="992" w:gutter="0"/>
          <w:cols w:space="425" w:num="1"/>
          <w:docGrid w:type="lines" w:linePitch="312" w:charSpace="0"/>
        </w:sectPr>
      </w:pPr>
    </w:p>
    <w:tbl>
      <w:tblPr>
        <w:tblStyle w:val="4"/>
        <w:tblW w:w="8805" w:type="dxa"/>
        <w:tblInd w:w="0" w:type="dxa"/>
        <w:shd w:val="clear" w:color="auto" w:fill="auto"/>
        <w:tblLayout w:type="autofit"/>
        <w:tblCellMar>
          <w:top w:w="0" w:type="dxa"/>
          <w:left w:w="0" w:type="dxa"/>
          <w:bottom w:w="0" w:type="dxa"/>
          <w:right w:w="0" w:type="dxa"/>
        </w:tblCellMar>
      </w:tblPr>
      <w:tblGrid>
        <w:gridCol w:w="2065"/>
        <w:gridCol w:w="6740"/>
      </w:tblGrid>
      <w:tr>
        <w:tblPrEx>
          <w:shd w:val="clear" w:color="auto" w:fill="auto"/>
        </w:tblPrEx>
        <w:trPr>
          <w:trHeight w:val="680" w:hRule="atLeast"/>
        </w:trPr>
        <w:tc>
          <w:tcPr>
            <w:tcW w:w="8805" w:type="dxa"/>
            <w:gridSpan w:val="2"/>
            <w:tcBorders>
              <w:top w:val="nil"/>
              <w:left w:val="nil"/>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微软简标宋" w:hAnsi="微软简标宋" w:eastAsia="微软简标宋" w:cs="微软简标宋"/>
                <w:i w:val="0"/>
                <w:color w:val="000000"/>
                <w:sz w:val="32"/>
                <w:szCs w:val="32"/>
                <w:u w:val="none"/>
              </w:rPr>
            </w:pPr>
            <w:bookmarkStart w:id="0" w:name="_GoBack"/>
            <w:bookmarkEnd w:id="0"/>
            <w:r>
              <w:rPr>
                <w:rFonts w:hint="default" w:ascii="微软简标宋" w:hAnsi="微软简标宋" w:eastAsia="微软简标宋" w:cs="微软简标宋"/>
                <w:i w:val="0"/>
                <w:color w:val="000000"/>
                <w:kern w:val="0"/>
                <w:sz w:val="32"/>
                <w:szCs w:val="32"/>
                <w:u w:val="none"/>
                <w:lang w:val="en-US" w:eastAsia="zh-CN" w:bidi="ar"/>
              </w:rPr>
              <w:t>人防指挥保障信息表</w:t>
            </w:r>
          </w:p>
        </w:tc>
      </w:tr>
      <w:tr>
        <w:tblPrEx>
          <w:shd w:val="clear" w:color="auto" w:fill="auto"/>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黑体简体" w:hAnsi="方正黑体简体" w:eastAsia="方正黑体简体" w:cs="方正黑体简体"/>
                <w:i w:val="0"/>
                <w:color w:val="000000"/>
                <w:sz w:val="28"/>
                <w:szCs w:val="28"/>
                <w:u w:val="none"/>
              </w:rPr>
            </w:pPr>
            <w:r>
              <w:rPr>
                <w:rFonts w:hint="default" w:ascii="方正黑体简体" w:hAnsi="方正黑体简体" w:eastAsia="方正黑体简体" w:cs="方正黑体简体"/>
                <w:i w:val="0"/>
                <w:color w:val="000000"/>
                <w:kern w:val="0"/>
                <w:sz w:val="28"/>
                <w:szCs w:val="28"/>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1.1</w:t>
            </w:r>
          </w:p>
        </w:tc>
      </w:tr>
      <w:tr>
        <w:tblPrEx>
          <w:shd w:val="clear" w:color="auto" w:fill="auto"/>
          <w:tblCellMar>
            <w:top w:w="0" w:type="dxa"/>
            <w:left w:w="0" w:type="dxa"/>
            <w:bottom w:w="0" w:type="dxa"/>
            <w:right w:w="0"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黑体简体" w:hAnsi="方正黑体简体" w:eastAsia="方正黑体简体" w:cs="方正黑体简体"/>
                <w:i w:val="0"/>
                <w:color w:val="000000"/>
                <w:sz w:val="28"/>
                <w:szCs w:val="28"/>
                <w:u w:val="none"/>
              </w:rPr>
            </w:pPr>
            <w:r>
              <w:rPr>
                <w:rFonts w:hint="default" w:ascii="方正黑体简体" w:hAnsi="方正黑体简体" w:eastAsia="方正黑体简体" w:cs="方正黑体简体"/>
                <w:i w:val="0"/>
                <w:color w:val="000000"/>
                <w:kern w:val="0"/>
                <w:sz w:val="28"/>
                <w:szCs w:val="28"/>
                <w:u w:val="none"/>
                <w:lang w:val="en-US" w:eastAsia="zh-CN" w:bidi="ar"/>
              </w:rPr>
              <w:t>名称</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人防指挥保障</w:t>
            </w:r>
          </w:p>
        </w:tc>
      </w:tr>
      <w:tr>
        <w:tblPrEx>
          <w:shd w:val="clear" w:color="auto" w:fill="auto"/>
          <w:tblCellMar>
            <w:top w:w="0" w:type="dxa"/>
            <w:left w:w="0" w:type="dxa"/>
            <w:bottom w:w="0" w:type="dxa"/>
            <w:right w:w="0" w:type="dxa"/>
          </w:tblCellMar>
        </w:tblPrEx>
        <w:trPr>
          <w:trHeight w:val="21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黑体简体" w:hAnsi="方正黑体简体" w:eastAsia="方正黑体简体" w:cs="方正黑体简体"/>
                <w:i w:val="0"/>
                <w:color w:val="000000"/>
                <w:sz w:val="28"/>
                <w:szCs w:val="28"/>
                <w:u w:val="none"/>
              </w:rPr>
            </w:pPr>
            <w:r>
              <w:rPr>
                <w:rFonts w:hint="default" w:ascii="方正黑体简体" w:hAnsi="方正黑体简体" w:eastAsia="方正黑体简体" w:cs="方正黑体简体"/>
                <w:i w:val="0"/>
                <w:color w:val="000000"/>
                <w:kern w:val="0"/>
                <w:sz w:val="28"/>
                <w:szCs w:val="28"/>
                <w:u w:val="none"/>
                <w:lang w:val="en-US" w:eastAsia="zh-CN" w:bidi="ar"/>
              </w:rPr>
              <w:t>法定依据</w:t>
            </w:r>
          </w:p>
        </w:tc>
        <w:tc>
          <w:tcPr>
            <w:tcW w:w="6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24"/>
                <w:szCs w:val="24"/>
                <w:u w:val="none"/>
              </w:rPr>
            </w:pPr>
            <w:r>
              <w:rPr>
                <w:rFonts w:hint="eastAsia" w:asciiTheme="majorEastAsia" w:hAnsiTheme="majorEastAsia" w:eastAsiaTheme="majorEastAsia" w:cstheme="majorEastAsia"/>
                <w:i w:val="0"/>
                <w:color w:val="000000"/>
                <w:kern w:val="0"/>
                <w:sz w:val="24"/>
                <w:szCs w:val="24"/>
                <w:u w:val="none"/>
                <w:lang w:val="en-US" w:eastAsia="zh-CN" w:bidi="ar"/>
              </w:rPr>
              <w:t xml:space="preserve">  《中华人民共和国人民防空法》第二十九条，国家保障人民防空通信、警报的畅通，以迅速准确地传递、发放防空警报信号、有效地组织、指挥人民防空。</w:t>
            </w:r>
          </w:p>
        </w:tc>
      </w:tr>
      <w:tr>
        <w:tblPrEx>
          <w:shd w:val="clear" w:color="auto" w:fill="auto"/>
          <w:tblCellMar>
            <w:top w:w="0" w:type="dxa"/>
            <w:left w:w="0" w:type="dxa"/>
            <w:bottom w:w="0" w:type="dxa"/>
            <w:right w:w="0" w:type="dxa"/>
          </w:tblCellMar>
        </w:tblPrEx>
        <w:trPr>
          <w:trHeight w:val="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黑体简体" w:hAnsi="方正黑体简体" w:eastAsia="方正黑体简体" w:cs="方正黑体简体"/>
                <w:i w:val="0"/>
                <w:color w:val="000000"/>
                <w:sz w:val="28"/>
                <w:szCs w:val="28"/>
                <w:u w:val="none"/>
              </w:rPr>
            </w:pPr>
            <w:r>
              <w:rPr>
                <w:rFonts w:hint="default" w:ascii="方正黑体简体" w:hAnsi="方正黑体简体" w:eastAsia="方正黑体简体" w:cs="方正黑体简体"/>
                <w:i w:val="0"/>
                <w:color w:val="000000"/>
                <w:kern w:val="0"/>
                <w:sz w:val="28"/>
                <w:szCs w:val="28"/>
                <w:u w:val="none"/>
                <w:lang w:val="en-US" w:eastAsia="zh-CN" w:bidi="ar"/>
              </w:rPr>
              <w:t>实施机构</w:t>
            </w:r>
          </w:p>
        </w:tc>
        <w:tc>
          <w:tcPr>
            <w:tcW w:w="6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Theme="majorEastAsia" w:hAnsiTheme="majorEastAsia" w:eastAsiaTheme="majorEastAsia" w:cstheme="majorEastAsia"/>
                <w:i w:val="0"/>
                <w:color w:val="000000"/>
                <w:sz w:val="24"/>
                <w:szCs w:val="24"/>
                <w:u w:val="none"/>
              </w:rPr>
            </w:pPr>
            <w:r>
              <w:rPr>
                <w:rFonts w:hint="eastAsia" w:asciiTheme="majorEastAsia" w:hAnsiTheme="majorEastAsia" w:eastAsiaTheme="majorEastAsia" w:cstheme="majorEastAsia"/>
                <w:i w:val="0"/>
                <w:color w:val="000000"/>
                <w:kern w:val="0"/>
                <w:sz w:val="24"/>
                <w:szCs w:val="24"/>
                <w:u w:val="none"/>
                <w:lang w:val="en-US" w:eastAsia="zh-CN" w:bidi="ar"/>
              </w:rPr>
              <w:br w:type="textWrapping"/>
            </w:r>
            <w:r>
              <w:rPr>
                <w:rFonts w:hint="eastAsia" w:asciiTheme="majorEastAsia" w:hAnsiTheme="majorEastAsia" w:eastAsiaTheme="majorEastAsia" w:cstheme="majorEastAsia"/>
                <w:i w:val="0"/>
                <w:color w:val="000000"/>
                <w:kern w:val="0"/>
                <w:sz w:val="24"/>
                <w:szCs w:val="24"/>
                <w:u w:val="none"/>
                <w:lang w:val="en-US" w:eastAsia="zh-CN" w:bidi="ar"/>
              </w:rPr>
              <w:t>天津市滨海新区人防指挥信息保障中心</w:t>
            </w:r>
          </w:p>
        </w:tc>
      </w:tr>
      <w:tr>
        <w:tblPrEx>
          <w:shd w:val="clear" w:color="auto" w:fill="auto"/>
          <w:tblCellMar>
            <w:top w:w="0" w:type="dxa"/>
            <w:left w:w="0" w:type="dxa"/>
            <w:bottom w:w="0" w:type="dxa"/>
            <w:right w:w="0"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黑体简体" w:hAnsi="方正黑体简体" w:eastAsia="方正黑体简体" w:cs="方正黑体简体"/>
                <w:i w:val="0"/>
                <w:color w:val="000000"/>
                <w:sz w:val="28"/>
                <w:szCs w:val="28"/>
                <w:u w:val="none"/>
              </w:rPr>
            </w:pPr>
            <w:r>
              <w:rPr>
                <w:rFonts w:hint="default" w:ascii="方正黑体简体" w:hAnsi="方正黑体简体" w:eastAsia="方正黑体简体" w:cs="方正黑体简体"/>
                <w:i w:val="0"/>
                <w:color w:val="000000"/>
                <w:kern w:val="0"/>
                <w:sz w:val="28"/>
                <w:szCs w:val="28"/>
                <w:u w:val="none"/>
                <w:lang w:val="en-US" w:eastAsia="zh-CN" w:bidi="ar"/>
              </w:rPr>
              <w:t>职责边界</w:t>
            </w:r>
          </w:p>
        </w:tc>
        <w:tc>
          <w:tcPr>
            <w:tcW w:w="6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Theme="majorEastAsia" w:hAnsiTheme="majorEastAsia" w:eastAsiaTheme="majorEastAsia" w:cstheme="majorEastAsia"/>
                <w:i w:val="0"/>
                <w:color w:val="000000"/>
                <w:sz w:val="24"/>
                <w:szCs w:val="24"/>
                <w:u w:val="none"/>
              </w:rPr>
            </w:pPr>
            <w:r>
              <w:rPr>
                <w:rFonts w:hint="eastAsia" w:asciiTheme="majorEastAsia" w:hAnsiTheme="majorEastAsia" w:eastAsiaTheme="majorEastAsia" w:cstheme="majorEastAsia"/>
                <w:i w:val="0"/>
                <w:color w:val="000000"/>
                <w:kern w:val="0"/>
                <w:sz w:val="24"/>
                <w:szCs w:val="24"/>
                <w:u w:val="none"/>
                <w:lang w:val="en-US" w:eastAsia="zh-CN" w:bidi="ar"/>
              </w:rPr>
              <w:br w:type="textWrapping"/>
            </w:r>
            <w:r>
              <w:rPr>
                <w:rFonts w:hint="eastAsia" w:asciiTheme="majorEastAsia" w:hAnsiTheme="majorEastAsia" w:eastAsiaTheme="majorEastAsia" w:cstheme="majorEastAsia"/>
                <w:i w:val="0"/>
                <w:color w:val="000000"/>
                <w:kern w:val="0"/>
                <w:sz w:val="24"/>
                <w:szCs w:val="24"/>
                <w:u w:val="none"/>
                <w:lang w:val="en-US" w:eastAsia="zh-CN" w:bidi="ar"/>
              </w:rPr>
              <w:t xml:space="preserve">  天津市滨海新区人防指挥信息保障中心按照《滨海新区防空袭预案》负责组织人防指挥通信保障。</w:t>
            </w:r>
          </w:p>
        </w:tc>
      </w:tr>
      <w:tr>
        <w:tblPrEx>
          <w:shd w:val="clear" w:color="auto" w:fill="auto"/>
          <w:tblCellMar>
            <w:top w:w="0" w:type="dxa"/>
            <w:left w:w="0" w:type="dxa"/>
            <w:bottom w:w="0" w:type="dxa"/>
            <w:right w:w="0" w:type="dxa"/>
          </w:tblCellMar>
        </w:tblPrEx>
        <w:trPr>
          <w:trHeight w:val="9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黑体简体" w:hAnsi="方正黑体简体" w:eastAsia="方正黑体简体" w:cs="方正黑体简体"/>
                <w:i w:val="0"/>
                <w:color w:val="000000"/>
                <w:sz w:val="28"/>
                <w:szCs w:val="28"/>
                <w:u w:val="none"/>
              </w:rPr>
            </w:pPr>
            <w:r>
              <w:rPr>
                <w:rFonts w:hint="default" w:ascii="方正黑体简体" w:hAnsi="方正黑体简体" w:eastAsia="方正黑体简体" w:cs="方正黑体简体"/>
                <w:i w:val="0"/>
                <w:color w:val="000000"/>
                <w:kern w:val="0"/>
                <w:sz w:val="28"/>
                <w:szCs w:val="28"/>
                <w:u w:val="none"/>
                <w:lang w:val="en-US" w:eastAsia="zh-CN" w:bidi="ar"/>
              </w:rPr>
              <w:t>运行流程</w:t>
            </w:r>
          </w:p>
        </w:tc>
        <w:tc>
          <w:tcPr>
            <w:tcW w:w="6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仿宋简体" w:hAnsi="方正仿宋简体" w:eastAsia="方正仿宋简体" w:cs="方正仿宋简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制定方案—组织实施</w:t>
            </w:r>
          </w:p>
        </w:tc>
      </w:tr>
      <w:tr>
        <w:tblPrEx>
          <w:shd w:val="clear" w:color="auto" w:fill="auto"/>
          <w:tblCellMar>
            <w:top w:w="0" w:type="dxa"/>
            <w:left w:w="0" w:type="dxa"/>
            <w:bottom w:w="0" w:type="dxa"/>
            <w:right w:w="0" w:type="dxa"/>
          </w:tblCellMar>
        </w:tblPrEx>
        <w:trPr>
          <w:trHeight w:val="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黑体简体" w:hAnsi="方正黑体简体" w:eastAsia="方正黑体简体" w:cs="方正黑体简体"/>
                <w:i w:val="0"/>
                <w:color w:val="000000"/>
                <w:sz w:val="28"/>
                <w:szCs w:val="28"/>
                <w:u w:val="none"/>
              </w:rPr>
            </w:pPr>
            <w:r>
              <w:rPr>
                <w:rFonts w:hint="default" w:ascii="方正黑体简体" w:hAnsi="方正黑体简体" w:eastAsia="方正黑体简体" w:cs="方正黑体简体"/>
                <w:i w:val="0"/>
                <w:color w:val="000000"/>
                <w:kern w:val="0"/>
                <w:sz w:val="28"/>
                <w:szCs w:val="28"/>
                <w:u w:val="none"/>
                <w:lang w:val="en-US" w:eastAsia="zh-CN" w:bidi="ar"/>
              </w:rPr>
              <w:t>运行要件</w:t>
            </w:r>
          </w:p>
        </w:tc>
        <w:tc>
          <w:tcPr>
            <w:tcW w:w="6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受过培训的人防指挥通信保障人员</w:t>
            </w:r>
          </w:p>
        </w:tc>
      </w:tr>
      <w:tr>
        <w:tblPrEx>
          <w:shd w:val="clear" w:color="auto" w:fill="auto"/>
          <w:tblCellMar>
            <w:top w:w="0" w:type="dxa"/>
            <w:left w:w="0" w:type="dxa"/>
            <w:bottom w:w="0" w:type="dxa"/>
            <w:right w:w="0" w:type="dxa"/>
          </w:tblCellMar>
        </w:tblPrEx>
        <w:trPr>
          <w:trHeight w:val="2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黑体简体" w:hAnsi="方正黑体简体" w:eastAsia="方正黑体简体" w:cs="方正黑体简体"/>
                <w:i w:val="0"/>
                <w:color w:val="000000"/>
                <w:sz w:val="28"/>
                <w:szCs w:val="28"/>
                <w:u w:val="none"/>
              </w:rPr>
            </w:pPr>
            <w:r>
              <w:rPr>
                <w:rFonts w:hint="default" w:ascii="方正黑体简体" w:hAnsi="方正黑体简体" w:eastAsia="方正黑体简体" w:cs="方正黑体简体"/>
                <w:i w:val="0"/>
                <w:color w:val="000000"/>
                <w:kern w:val="0"/>
                <w:sz w:val="28"/>
                <w:szCs w:val="28"/>
                <w:u w:val="none"/>
                <w:lang w:val="en-US" w:eastAsia="zh-CN" w:bidi="ar"/>
              </w:rPr>
              <w:t>责任事项</w:t>
            </w:r>
          </w:p>
        </w:tc>
        <w:tc>
          <w:tcPr>
            <w:tcW w:w="0" w:type="auto"/>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负责人防指挥通信设备操作和技术保障</w:t>
            </w:r>
          </w:p>
        </w:tc>
      </w:tr>
      <w:tr>
        <w:tblPrEx>
          <w:shd w:val="clear" w:color="auto" w:fill="auto"/>
          <w:tblCellMar>
            <w:top w:w="0" w:type="dxa"/>
            <w:left w:w="0" w:type="dxa"/>
            <w:bottom w:w="0" w:type="dxa"/>
            <w:right w:w="0" w:type="dxa"/>
          </w:tblCellMar>
        </w:tblPrEx>
        <w:trPr>
          <w:trHeight w:val="1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方正黑体简体" w:hAnsi="方正黑体简体" w:eastAsia="方正黑体简体" w:cs="方正黑体简体"/>
                <w:i w:val="0"/>
                <w:color w:val="000000"/>
                <w:sz w:val="28"/>
                <w:szCs w:val="28"/>
                <w:u w:val="none"/>
              </w:rPr>
            </w:pPr>
            <w:r>
              <w:rPr>
                <w:rFonts w:hint="default" w:ascii="方正黑体简体" w:hAnsi="方正黑体简体" w:eastAsia="方正黑体简体" w:cs="方正黑体简体"/>
                <w:i w:val="0"/>
                <w:color w:val="000000"/>
                <w:kern w:val="0"/>
                <w:sz w:val="28"/>
                <w:szCs w:val="28"/>
                <w:u w:val="none"/>
                <w:lang w:val="en-US" w:eastAsia="zh-CN" w:bidi="ar"/>
              </w:rPr>
              <w:t>监督方式</w:t>
            </w:r>
          </w:p>
        </w:tc>
        <w:tc>
          <w:tcPr>
            <w:tcW w:w="6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4"/>
                <w:szCs w:val="24"/>
                <w:u w:val="none"/>
                <w:lang w:val="en-US" w:eastAsia="zh-CN" w:bidi="ar"/>
              </w:rPr>
              <w:t xml:space="preserve">部门举报电话：022-25861571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电子邮箱：bhxqrfzx@163.com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来电来访地址：天津市滨海新区大连道1678号</w:t>
            </w:r>
          </w:p>
        </w:tc>
      </w:tr>
      <w:tr>
        <w:tblPrEx>
          <w:shd w:val="clear" w:color="auto" w:fill="auto"/>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default" w:ascii="Arial" w:hAnsi="Arial" w:cs="Arial"/>
                <w:i w:val="0"/>
                <w:color w:val="000000"/>
                <w:sz w:val="20"/>
                <w:szCs w:val="20"/>
                <w:u w:val="none"/>
              </w:rPr>
            </w:pPr>
          </w:p>
          <w:p>
            <w:pPr>
              <w:rPr>
                <w:rFonts w:hint="default" w:ascii="Arial" w:hAnsi="Arial" w:cs="Arial"/>
                <w:i w:val="0"/>
                <w:color w:val="000000"/>
                <w:sz w:val="20"/>
                <w:szCs w:val="20"/>
                <w:u w:val="none"/>
              </w:rPr>
            </w:pPr>
          </w:p>
          <w:p>
            <w:pPr>
              <w:rPr>
                <w:rFonts w:hint="default" w:ascii="Arial" w:hAnsi="Arial" w:cs="Arial"/>
                <w:i w:val="0"/>
                <w:color w:val="000000"/>
                <w:sz w:val="20"/>
                <w:szCs w:val="20"/>
                <w:u w:val="none"/>
              </w:rPr>
            </w:pPr>
          </w:p>
        </w:tc>
      </w:tr>
      <w:tr>
        <w:tblPrEx>
          <w:shd w:val="clear" w:color="auto" w:fill="auto"/>
          <w:tblCellMar>
            <w:top w:w="0" w:type="dxa"/>
            <w:left w:w="0" w:type="dxa"/>
            <w:bottom w:w="0" w:type="dxa"/>
            <w:right w:w="0" w:type="dxa"/>
          </w:tblCellMar>
        </w:tblPrEx>
        <w:trPr>
          <w:trHeight w:val="700" w:hRule="atLeast"/>
        </w:trPr>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6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r>
      <w:tr>
        <w:tblPrEx>
          <w:shd w:val="clear" w:color="auto" w:fill="auto"/>
          <w:tblCellMar>
            <w:top w:w="0" w:type="dxa"/>
            <w:left w:w="0" w:type="dxa"/>
            <w:bottom w:w="0" w:type="dxa"/>
            <w:right w:w="0" w:type="dxa"/>
          </w:tblCellMar>
        </w:tblPrEx>
        <w:trPr>
          <w:trHeight w:val="850" w:hRule="atLeast"/>
        </w:trPr>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名称</w:t>
            </w:r>
          </w:p>
        </w:tc>
        <w:tc>
          <w:tcPr>
            <w:tcW w:w="6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人防通信保障</w:t>
            </w:r>
          </w:p>
        </w:tc>
      </w:tr>
      <w:tr>
        <w:tblPrEx>
          <w:shd w:val="clear" w:color="auto" w:fill="auto"/>
          <w:tblCellMar>
            <w:top w:w="0" w:type="dxa"/>
            <w:left w:w="0" w:type="dxa"/>
            <w:bottom w:w="0" w:type="dxa"/>
            <w:right w:w="0" w:type="dxa"/>
          </w:tblCellMar>
        </w:tblPrEx>
        <w:trPr>
          <w:trHeight w:val="312" w:hRule="atLeast"/>
        </w:trPr>
        <w:tc>
          <w:tcPr>
            <w:tcW w:w="2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法定依据</w:t>
            </w:r>
          </w:p>
        </w:tc>
        <w:tc>
          <w:tcPr>
            <w:tcW w:w="67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《中华人民共和国人民防空法》第二十九条，国家保障人民防空通信、警报的畅通，以迅速准确地传递、发放防空警报信号、有效地组织、指挥人民防空。</w:t>
            </w:r>
          </w:p>
        </w:tc>
      </w:tr>
      <w:tr>
        <w:tblPrEx>
          <w:shd w:val="clear" w:color="auto" w:fill="auto"/>
          <w:tblCellMar>
            <w:top w:w="0" w:type="dxa"/>
            <w:left w:w="0" w:type="dxa"/>
            <w:bottom w:w="0" w:type="dxa"/>
            <w:right w:w="0" w:type="dxa"/>
          </w:tblCellMar>
        </w:tblPrEx>
        <w:trPr>
          <w:trHeight w:val="1800" w:hRule="atLeast"/>
        </w:trPr>
        <w:tc>
          <w:tcPr>
            <w:tcW w:w="2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7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360" w:hRule="atLeast"/>
        </w:trPr>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实施机构</w:t>
            </w:r>
          </w:p>
        </w:tc>
        <w:tc>
          <w:tcPr>
            <w:tcW w:w="6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天津市滨海新区人防指挥信息保障中心</w:t>
            </w:r>
          </w:p>
        </w:tc>
      </w:tr>
      <w:tr>
        <w:tblPrEx>
          <w:shd w:val="clear" w:color="auto" w:fill="auto"/>
          <w:tblCellMar>
            <w:top w:w="0" w:type="dxa"/>
            <w:left w:w="0" w:type="dxa"/>
            <w:bottom w:w="0" w:type="dxa"/>
            <w:right w:w="0" w:type="dxa"/>
          </w:tblCellMar>
        </w:tblPrEx>
        <w:trPr>
          <w:trHeight w:val="1200" w:hRule="atLeast"/>
        </w:trPr>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职责边界</w:t>
            </w:r>
          </w:p>
        </w:tc>
        <w:tc>
          <w:tcPr>
            <w:tcW w:w="6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天津市滨海新区人防指挥信息保障中心按照《滨海新区防空袭预案》负责组织通信、警报保障。</w:t>
            </w:r>
          </w:p>
        </w:tc>
      </w:tr>
      <w:tr>
        <w:tblPrEx>
          <w:shd w:val="clear" w:color="auto" w:fill="auto"/>
          <w:tblCellMar>
            <w:top w:w="0" w:type="dxa"/>
            <w:left w:w="0" w:type="dxa"/>
            <w:bottom w:w="0" w:type="dxa"/>
            <w:right w:w="0" w:type="dxa"/>
          </w:tblCellMar>
        </w:tblPrEx>
        <w:trPr>
          <w:trHeight w:val="860" w:hRule="atLeast"/>
        </w:trPr>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运行流程</w:t>
            </w:r>
          </w:p>
        </w:tc>
        <w:tc>
          <w:tcPr>
            <w:tcW w:w="6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制定方案—组织实施</w:t>
            </w:r>
          </w:p>
        </w:tc>
      </w:tr>
      <w:tr>
        <w:tblPrEx>
          <w:shd w:val="clear" w:color="auto" w:fill="auto"/>
          <w:tblCellMar>
            <w:top w:w="0" w:type="dxa"/>
            <w:left w:w="0" w:type="dxa"/>
            <w:bottom w:w="0" w:type="dxa"/>
            <w:right w:w="0" w:type="dxa"/>
          </w:tblCellMar>
        </w:tblPrEx>
        <w:trPr>
          <w:trHeight w:val="860" w:hRule="atLeast"/>
        </w:trPr>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运行要件</w:t>
            </w:r>
          </w:p>
        </w:tc>
        <w:tc>
          <w:tcPr>
            <w:tcW w:w="6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受过培训的人防指挥通信保障人员</w:t>
            </w:r>
          </w:p>
        </w:tc>
      </w:tr>
      <w:tr>
        <w:tblPrEx>
          <w:shd w:val="clear" w:color="auto" w:fill="auto"/>
          <w:tblCellMar>
            <w:top w:w="0" w:type="dxa"/>
            <w:left w:w="0" w:type="dxa"/>
            <w:bottom w:w="0" w:type="dxa"/>
            <w:right w:w="0" w:type="dxa"/>
          </w:tblCellMar>
        </w:tblPrEx>
        <w:trPr>
          <w:trHeight w:val="1580" w:hRule="atLeast"/>
        </w:trPr>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责任事项</w:t>
            </w:r>
          </w:p>
        </w:tc>
        <w:tc>
          <w:tcPr>
            <w:tcW w:w="67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负责人防通信、警报设备操作和技术保障</w:t>
            </w:r>
          </w:p>
        </w:tc>
      </w:tr>
      <w:tr>
        <w:tblPrEx>
          <w:shd w:val="clear" w:color="auto" w:fill="auto"/>
          <w:tblCellMar>
            <w:top w:w="0" w:type="dxa"/>
            <w:left w:w="0" w:type="dxa"/>
            <w:bottom w:w="0" w:type="dxa"/>
            <w:right w:w="0" w:type="dxa"/>
          </w:tblCellMar>
        </w:tblPrEx>
        <w:trPr>
          <w:trHeight w:val="480" w:hRule="atLeast"/>
        </w:trPr>
        <w:tc>
          <w:tcPr>
            <w:tcW w:w="2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监督方式</w:t>
            </w:r>
          </w:p>
        </w:tc>
        <w:tc>
          <w:tcPr>
            <w:tcW w:w="674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部门举报电话：022-25861571 </w:t>
            </w:r>
          </w:p>
        </w:tc>
      </w:tr>
      <w:tr>
        <w:tblPrEx>
          <w:shd w:val="clear" w:color="auto" w:fill="auto"/>
          <w:tblCellMar>
            <w:top w:w="0" w:type="dxa"/>
            <w:left w:w="0" w:type="dxa"/>
            <w:bottom w:w="0" w:type="dxa"/>
            <w:right w:w="0" w:type="dxa"/>
          </w:tblCellMar>
        </w:tblPrEx>
        <w:trPr>
          <w:trHeight w:val="600" w:hRule="atLeast"/>
        </w:trPr>
        <w:tc>
          <w:tcPr>
            <w:tcW w:w="2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740" w:type="dxa"/>
            <w:tcBorders>
              <w:top w:val="nil"/>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电子邮箱：bhxqrfzx@163.com  </w:t>
            </w:r>
          </w:p>
        </w:tc>
      </w:tr>
      <w:tr>
        <w:tblPrEx>
          <w:shd w:val="clear" w:color="auto" w:fill="auto"/>
          <w:tblCellMar>
            <w:top w:w="0" w:type="dxa"/>
            <w:left w:w="0" w:type="dxa"/>
            <w:bottom w:w="0" w:type="dxa"/>
            <w:right w:w="0" w:type="dxa"/>
          </w:tblCellMar>
        </w:tblPrEx>
        <w:trPr>
          <w:trHeight w:val="800" w:hRule="atLeast"/>
        </w:trPr>
        <w:tc>
          <w:tcPr>
            <w:tcW w:w="2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74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来电来访地址：天津市滨海新区大连道1678号</w:t>
            </w:r>
          </w:p>
        </w:tc>
      </w:tr>
      <w:tr>
        <w:tblPrEx>
          <w:shd w:val="clear" w:color="auto" w:fill="auto"/>
          <w:tblCellMar>
            <w:top w:w="0" w:type="dxa"/>
            <w:left w:w="0" w:type="dxa"/>
            <w:bottom w:w="0" w:type="dxa"/>
            <w:right w:w="0" w:type="dxa"/>
          </w:tblCellMar>
        </w:tblPrEx>
        <w:trPr>
          <w:trHeight w:val="255"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rPr>
                <w:rFonts w:hint="default" w:ascii="Arial" w:hAnsi="Arial" w:cs="Arial"/>
                <w:i w:val="0"/>
                <w:color w:val="000000"/>
                <w:sz w:val="20"/>
                <w:szCs w:val="20"/>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default" w:ascii="Arial" w:hAnsi="Arial" w:cs="Arial"/>
                <w:i w:val="0"/>
                <w:color w:val="000000"/>
                <w:sz w:val="20"/>
                <w:szCs w:val="20"/>
                <w:u w:val="none"/>
              </w:rPr>
            </w:pPr>
          </w:p>
          <w:p>
            <w:pPr>
              <w:rPr>
                <w:rFonts w:hint="default" w:ascii="Arial" w:hAnsi="Arial" w:cs="Arial"/>
                <w:i w:val="0"/>
                <w:color w:val="000000"/>
                <w:sz w:val="20"/>
                <w:szCs w:val="20"/>
                <w:u w:val="none"/>
              </w:rPr>
            </w:pPr>
          </w:p>
          <w:p>
            <w:pPr>
              <w:rPr>
                <w:rFonts w:hint="default" w:ascii="Arial" w:hAnsi="Arial" w:cs="Arial"/>
                <w:i w:val="0"/>
                <w:color w:val="000000"/>
                <w:sz w:val="20"/>
                <w:szCs w:val="20"/>
                <w:u w:val="none"/>
              </w:rPr>
            </w:pPr>
          </w:p>
          <w:p>
            <w:pPr>
              <w:rPr>
                <w:rFonts w:hint="default" w:ascii="Arial" w:hAnsi="Arial" w:cs="Arial"/>
                <w:i w:val="0"/>
                <w:color w:val="000000"/>
                <w:sz w:val="20"/>
                <w:szCs w:val="20"/>
                <w:u w:val="none"/>
              </w:rPr>
            </w:pPr>
          </w:p>
          <w:p>
            <w:pPr>
              <w:rPr>
                <w:rFonts w:hint="default" w:ascii="Arial" w:hAnsi="Arial" w:cs="Arial"/>
                <w:i w:val="0"/>
                <w:color w:val="000000"/>
                <w:sz w:val="20"/>
                <w:szCs w:val="20"/>
                <w:u w:val="none"/>
              </w:rPr>
            </w:pPr>
          </w:p>
        </w:tc>
      </w:tr>
      <w:tr>
        <w:tblPrEx>
          <w:shd w:val="clear" w:color="auto" w:fill="auto"/>
          <w:tblCellMar>
            <w:top w:w="0" w:type="dxa"/>
            <w:left w:w="0" w:type="dxa"/>
            <w:bottom w:w="0" w:type="dxa"/>
            <w:right w:w="0" w:type="dxa"/>
          </w:tblCellMar>
        </w:tblPrEx>
        <w:trPr>
          <w:trHeight w:val="880" w:hRule="atLeast"/>
        </w:trPr>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674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r>
      <w:tr>
        <w:tblPrEx>
          <w:shd w:val="clear" w:color="auto" w:fill="auto"/>
          <w:tblCellMar>
            <w:top w:w="0" w:type="dxa"/>
            <w:left w:w="0" w:type="dxa"/>
            <w:bottom w:w="0" w:type="dxa"/>
            <w:right w:w="0" w:type="dxa"/>
          </w:tblCellMar>
        </w:tblPrEx>
        <w:trPr>
          <w:trHeight w:val="1240" w:hRule="atLeast"/>
        </w:trPr>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名称</w:t>
            </w:r>
          </w:p>
        </w:tc>
        <w:tc>
          <w:tcPr>
            <w:tcW w:w="674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人防通信和警报设施设备，人防指挥</w:t>
            </w:r>
            <w:r>
              <w:rPr>
                <w:rStyle w:val="7"/>
                <w:lang w:val="en-US" w:eastAsia="zh-CN" w:bidi="ar"/>
              </w:rPr>
              <w:t>所维护管理</w:t>
            </w:r>
          </w:p>
        </w:tc>
      </w:tr>
      <w:tr>
        <w:tblPrEx>
          <w:shd w:val="clear" w:color="auto" w:fill="auto"/>
          <w:tblCellMar>
            <w:top w:w="0" w:type="dxa"/>
            <w:left w:w="0" w:type="dxa"/>
            <w:bottom w:w="0" w:type="dxa"/>
            <w:right w:w="0" w:type="dxa"/>
          </w:tblCellMar>
        </w:tblPrEx>
        <w:trPr>
          <w:trHeight w:val="1280" w:hRule="atLeast"/>
        </w:trPr>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法定依据</w:t>
            </w:r>
          </w:p>
        </w:tc>
        <w:tc>
          <w:tcPr>
            <w:tcW w:w="674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《中华人民共和国人民防空法》第三十五条，人民防空通信、警报设施必须保持良好使用状态。</w:t>
            </w:r>
          </w:p>
        </w:tc>
      </w:tr>
      <w:tr>
        <w:tblPrEx>
          <w:shd w:val="clear" w:color="auto" w:fill="auto"/>
          <w:tblCellMar>
            <w:top w:w="0" w:type="dxa"/>
            <w:left w:w="0" w:type="dxa"/>
            <w:bottom w:w="0" w:type="dxa"/>
            <w:right w:w="0" w:type="dxa"/>
          </w:tblCellMar>
        </w:tblPrEx>
        <w:trPr>
          <w:trHeight w:val="880" w:hRule="atLeast"/>
        </w:trPr>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实施机构</w:t>
            </w:r>
          </w:p>
        </w:tc>
        <w:tc>
          <w:tcPr>
            <w:tcW w:w="674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天津市滨海新区人防指挥信息保障中心</w:t>
            </w:r>
          </w:p>
        </w:tc>
      </w:tr>
      <w:tr>
        <w:tblPrEx>
          <w:shd w:val="clear" w:color="auto" w:fill="auto"/>
          <w:tblCellMar>
            <w:top w:w="0" w:type="dxa"/>
            <w:left w:w="0" w:type="dxa"/>
            <w:bottom w:w="0" w:type="dxa"/>
            <w:right w:w="0" w:type="dxa"/>
          </w:tblCellMar>
        </w:tblPrEx>
        <w:trPr>
          <w:trHeight w:val="312" w:hRule="atLeast"/>
        </w:trPr>
        <w:tc>
          <w:tcPr>
            <w:tcW w:w="2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职责边界</w:t>
            </w:r>
          </w:p>
        </w:tc>
        <w:tc>
          <w:tcPr>
            <w:tcW w:w="6740" w:type="dxa"/>
            <w:vMerge w:val="restart"/>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天津市滨海新区人防指挥信息保障中心负责组织人防通信和警报设施、设备，人防指挥所维护管理、维护经费使用。</w:t>
            </w:r>
          </w:p>
        </w:tc>
      </w:tr>
      <w:tr>
        <w:tblPrEx>
          <w:shd w:val="clear" w:color="auto" w:fill="auto"/>
          <w:tblCellMar>
            <w:top w:w="0" w:type="dxa"/>
            <w:left w:w="0" w:type="dxa"/>
            <w:bottom w:w="0" w:type="dxa"/>
            <w:right w:w="0" w:type="dxa"/>
          </w:tblCellMar>
        </w:tblPrEx>
        <w:trPr>
          <w:trHeight w:val="1320" w:hRule="atLeast"/>
        </w:trPr>
        <w:tc>
          <w:tcPr>
            <w:tcW w:w="2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740" w:type="dxa"/>
            <w:vMerge w:val="continue"/>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240" w:hRule="atLeast"/>
        </w:trPr>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运行流程</w:t>
            </w:r>
          </w:p>
        </w:tc>
        <w:tc>
          <w:tcPr>
            <w:tcW w:w="674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制定维护计划</w:t>
            </w:r>
            <w:r>
              <w:rPr>
                <w:rStyle w:val="7"/>
                <w:lang w:val="en-US" w:eastAsia="zh-CN" w:bidi="ar"/>
              </w:rPr>
              <w:t>—招投标—组织项目施工—竣工验收—使用管理</w:t>
            </w:r>
          </w:p>
        </w:tc>
      </w:tr>
      <w:tr>
        <w:tblPrEx>
          <w:shd w:val="clear" w:color="auto" w:fill="auto"/>
          <w:tblCellMar>
            <w:top w:w="0" w:type="dxa"/>
            <w:left w:w="0" w:type="dxa"/>
            <w:bottom w:w="0" w:type="dxa"/>
            <w:right w:w="0" w:type="dxa"/>
          </w:tblCellMar>
        </w:tblPrEx>
        <w:trPr>
          <w:trHeight w:val="1600" w:hRule="atLeast"/>
        </w:trPr>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运行要件</w:t>
            </w:r>
          </w:p>
        </w:tc>
        <w:tc>
          <w:tcPr>
            <w:tcW w:w="674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市政公用工程专业承包贰级，钢结构工程专业承包贰级，建筑机电安装工程专业承包叁级，建筑工程施工总承包贰级，电力工程施工总承包叁级。</w:t>
            </w:r>
          </w:p>
        </w:tc>
      </w:tr>
      <w:tr>
        <w:tblPrEx>
          <w:tblCellMar>
            <w:top w:w="0" w:type="dxa"/>
            <w:left w:w="0" w:type="dxa"/>
            <w:bottom w:w="0" w:type="dxa"/>
            <w:right w:w="0" w:type="dxa"/>
          </w:tblCellMar>
        </w:tblPrEx>
        <w:trPr>
          <w:trHeight w:val="1540" w:hRule="atLeast"/>
        </w:trPr>
        <w:tc>
          <w:tcPr>
            <w:tcW w:w="2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责任事项</w:t>
            </w:r>
          </w:p>
        </w:tc>
        <w:tc>
          <w:tcPr>
            <w:tcW w:w="674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负责组织设备、设施维修监督和使用管理</w:t>
            </w:r>
          </w:p>
        </w:tc>
      </w:tr>
      <w:tr>
        <w:tblPrEx>
          <w:tblCellMar>
            <w:top w:w="0" w:type="dxa"/>
            <w:left w:w="0" w:type="dxa"/>
            <w:bottom w:w="0" w:type="dxa"/>
            <w:right w:w="0" w:type="dxa"/>
          </w:tblCellMar>
        </w:tblPrEx>
        <w:trPr>
          <w:trHeight w:val="600" w:hRule="atLeast"/>
        </w:trPr>
        <w:tc>
          <w:tcPr>
            <w:tcW w:w="2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监督方式</w:t>
            </w:r>
          </w:p>
        </w:tc>
        <w:tc>
          <w:tcPr>
            <w:tcW w:w="6740" w:type="dxa"/>
            <w:tcBorders>
              <w:top w:val="single" w:color="000000" w:sz="4" w:space="0"/>
              <w:left w:val="single" w:color="000000" w:sz="4"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部门举报电话：022-25861571</w:t>
            </w:r>
            <w:r>
              <w:rPr>
                <w:rStyle w:val="7"/>
                <w:lang w:val="en-US" w:eastAsia="zh-CN" w:bidi="ar"/>
              </w:rPr>
              <w:t xml:space="preserve"> </w:t>
            </w:r>
          </w:p>
        </w:tc>
      </w:tr>
      <w:tr>
        <w:tblPrEx>
          <w:tblCellMar>
            <w:top w:w="0" w:type="dxa"/>
            <w:left w:w="0" w:type="dxa"/>
            <w:bottom w:w="0" w:type="dxa"/>
            <w:right w:w="0" w:type="dxa"/>
          </w:tblCellMar>
        </w:tblPrEx>
        <w:trPr>
          <w:trHeight w:val="590" w:hRule="atLeast"/>
        </w:trPr>
        <w:tc>
          <w:tcPr>
            <w:tcW w:w="2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740" w:type="dxa"/>
            <w:tcBorders>
              <w:top w:val="nil"/>
              <w:left w:val="single" w:color="000000" w:sz="4" w:space="0"/>
              <w:bottom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电子邮箱：bhxqrfzx@163.com  </w:t>
            </w:r>
          </w:p>
        </w:tc>
      </w:tr>
      <w:tr>
        <w:tblPrEx>
          <w:shd w:val="clear" w:color="auto" w:fill="auto"/>
        </w:tblPrEx>
        <w:trPr>
          <w:trHeight w:val="710" w:hRule="atLeast"/>
        </w:trPr>
        <w:tc>
          <w:tcPr>
            <w:tcW w:w="2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4"/>
                <w:szCs w:val="24"/>
                <w:u w:val="none"/>
              </w:rPr>
            </w:pPr>
          </w:p>
        </w:tc>
        <w:tc>
          <w:tcPr>
            <w:tcW w:w="6740" w:type="dxa"/>
            <w:tcBorders>
              <w:top w:val="nil"/>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来电来访地址：天津市滨海新区大连道1678</w:t>
            </w:r>
            <w:r>
              <w:rPr>
                <w:rStyle w:val="7"/>
                <w:lang w:val="en-US" w:eastAsia="zh-CN" w:bidi="ar"/>
              </w:rPr>
              <w:t>号</w:t>
            </w:r>
          </w:p>
        </w:tc>
      </w:tr>
    </w:tbl>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简标宋">
    <w:altName w:val="宋体"/>
    <w:panose1 w:val="00000000000000000000"/>
    <w:charset w:val="00"/>
    <w:family w:val="auto"/>
    <w:pitch w:val="default"/>
    <w:sig w:usb0="00000000" w:usb1="00000000" w:usb2="00000000" w:usb3="00000000" w:csb0="0000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方正黑体简体">
    <w:altName w:val="Arial Unicode MS"/>
    <w:panose1 w:val="00000000000000000000"/>
    <w:charset w:val="00"/>
    <w:family w:val="auto"/>
    <w:pitch w:val="default"/>
    <w:sig w:usb0="00000000" w:usb1="00000000" w:usb2="00000000" w:usb3="00000000" w:csb0="00000000" w:csb1="00000000"/>
  </w:font>
  <w:font w:name="方正仿宋简体">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B140BF"/>
    <w:rsid w:val="6A9D6680"/>
    <w:rsid w:val="772A001F"/>
    <w:rsid w:val="FFB39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91"/>
    <w:basedOn w:val="5"/>
    <w:qFormat/>
    <w:uiPriority w:val="0"/>
    <w:rPr>
      <w:rFonts w:hint="default" w:ascii="微软简标宋" w:hAnsi="微软简标宋" w:eastAsia="微软简标宋" w:cs="微软简标宋"/>
      <w:b/>
      <w:color w:val="000000"/>
      <w:sz w:val="32"/>
      <w:szCs w:val="32"/>
      <w:u w:val="none"/>
    </w:rPr>
  </w:style>
  <w:style w:type="character" w:customStyle="1" w:styleId="7">
    <w:name w:val="font2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2021-08-17T17:13:00Z</dcterms:created>
  <dc:creator>lenovo</dc:creator>
  <cp:lastModifiedBy>小风筝_薇</cp:lastModifiedBy>
  <cp:lastPrinted>2021-08-20T11:28:00Z</cp:lastPrinted>
  <dcterms:modified xsi:type="dcterms:W3CDTF">2021-11-22T08:41:16Z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A54D1713D12D4C0C9DE4CBC10CAF22C1</vt:lpwstr>
  </property>
</Properties>
</file>