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方正小标宋简体" w:eastAsia="方正小标宋简体"/>
          <w:bCs/>
          <w:sz w:val="44"/>
          <w:szCs w:val="44"/>
        </w:rPr>
      </w:pPr>
      <w:r>
        <w:rPr>
          <w:rFonts w:hint="eastAsia" w:ascii="方正小标宋简体" w:eastAsia="方正小标宋简体" w:cs="方正小标宋简体"/>
          <w:bCs/>
          <w:sz w:val="44"/>
          <w:szCs w:val="44"/>
        </w:rPr>
        <w:t>天津经济技术开发区促进企业构建和谐</w:t>
      </w:r>
    </w:p>
    <w:p>
      <w:pPr>
        <w:spacing w:line="560" w:lineRule="exact"/>
        <w:jc w:val="center"/>
        <w:rPr>
          <w:rFonts w:ascii="方正小标宋简体" w:eastAsia="方正小标宋简体"/>
          <w:bCs/>
          <w:sz w:val="44"/>
          <w:szCs w:val="44"/>
        </w:rPr>
      </w:pPr>
      <w:r>
        <w:rPr>
          <w:rFonts w:hint="eastAsia" w:ascii="方正小标宋简体" w:eastAsia="方正小标宋简体" w:cs="方正小标宋简体"/>
          <w:bCs/>
          <w:sz w:val="44"/>
          <w:szCs w:val="44"/>
        </w:rPr>
        <w:t>劳动关系支持办法</w:t>
      </w:r>
    </w:p>
    <w:p>
      <w:pPr>
        <w:spacing w:line="560" w:lineRule="exact"/>
        <w:jc w:val="center"/>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津党开工发〔2019〕5号</w:t>
      </w:r>
      <w:r>
        <w:rPr>
          <w:rFonts w:hint="eastAsia" w:ascii="楷体_GB2312" w:hAnsi="楷体_GB2312" w:eastAsia="楷体_GB2312" w:cs="楷体_GB2312"/>
          <w:b w:val="0"/>
          <w:bCs/>
          <w:sz w:val="32"/>
          <w:szCs w:val="32"/>
          <w:lang w:eastAsia="zh-CN"/>
        </w:rPr>
        <w:t>）</w:t>
      </w:r>
    </w:p>
    <w:p>
      <w:pPr>
        <w:spacing w:line="560" w:lineRule="exact"/>
        <w:jc w:val="center"/>
        <w:rPr>
          <w:rFonts w:hint="eastAsia" w:ascii="楷体_GB2312" w:hAnsi="楷体_GB2312" w:eastAsia="楷体_GB2312" w:cs="楷体_GB2312"/>
          <w:b w:val="0"/>
          <w:bCs/>
          <w:sz w:val="32"/>
          <w:szCs w:val="32"/>
          <w:lang w:eastAsia="zh-CN"/>
        </w:rPr>
      </w:pPr>
    </w:p>
    <w:p>
      <w:pPr>
        <w:snapToGrid w:val="0"/>
        <w:spacing w:before="247" w:beforeLines="50" w:after="247" w:afterLines="50" w:line="560" w:lineRule="exact"/>
        <w:jc w:val="center"/>
        <w:rPr>
          <w:rFonts w:ascii="黑体" w:hAnsi="宋体" w:eastAsia="黑体"/>
          <w:bCs/>
          <w:sz w:val="32"/>
          <w:szCs w:val="32"/>
        </w:rPr>
      </w:pPr>
      <w:r>
        <w:rPr>
          <w:rFonts w:hint="eastAsia" w:ascii="黑体" w:hAnsi="宋体" w:eastAsia="黑体" w:cs="黑体"/>
          <w:bCs/>
          <w:sz w:val="32"/>
          <w:szCs w:val="32"/>
        </w:rPr>
        <w:t>第一章</w:t>
      </w:r>
      <w:r>
        <w:rPr>
          <w:rFonts w:ascii="黑体" w:hAnsi="宋体" w:eastAsia="黑体" w:cs="黑体"/>
          <w:bCs/>
          <w:sz w:val="32"/>
          <w:szCs w:val="32"/>
        </w:rPr>
        <w:t xml:space="preserve"> </w:t>
      </w:r>
      <w:r>
        <w:rPr>
          <w:rFonts w:hint="eastAsia" w:ascii="黑体" w:hAnsi="宋体" w:eastAsia="黑体" w:cs="黑体"/>
          <w:bCs/>
          <w:sz w:val="32"/>
          <w:szCs w:val="32"/>
        </w:rPr>
        <w:t>总则</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第一条【目标依据】</w:t>
      </w:r>
      <w:r>
        <w:rPr>
          <w:rFonts w:ascii="黑体" w:hAnsi="黑体" w:eastAsia="黑体" w:cs="黑体"/>
          <w:sz w:val="32"/>
          <w:szCs w:val="32"/>
        </w:rPr>
        <w:t xml:space="preserve"> </w:t>
      </w:r>
      <w:r>
        <w:rPr>
          <w:rFonts w:hint="eastAsia" w:ascii="仿宋_GB2312" w:hAnsi="仿宋" w:eastAsia="仿宋_GB2312" w:cs="仿宋_GB2312"/>
          <w:sz w:val="32"/>
          <w:szCs w:val="32"/>
        </w:rPr>
        <w:t>全面贯彻党的十九大精神，坚持以人民为中心的发展思想，深入落实《中共中央</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国务院关于构建和谐劳动关系的意见》（中发〔</w:t>
      </w:r>
      <w:r>
        <w:rPr>
          <w:rFonts w:ascii="仿宋_GB2312" w:hAnsi="仿宋" w:eastAsia="仿宋_GB2312" w:cs="仿宋_GB2312"/>
          <w:sz w:val="32"/>
          <w:szCs w:val="32"/>
        </w:rPr>
        <w:t>2015</w:t>
      </w:r>
      <w:r>
        <w:rPr>
          <w:rFonts w:hint="eastAsia" w:ascii="仿宋_GB2312" w:hAnsi="仿宋" w:eastAsia="仿宋_GB2312" w:cs="仿宋_GB2312"/>
          <w:sz w:val="32"/>
          <w:szCs w:val="32"/>
        </w:rPr>
        <w:t>〕</w:t>
      </w:r>
      <w:r>
        <w:rPr>
          <w:rFonts w:ascii="仿宋_GB2312" w:hAnsi="仿宋" w:eastAsia="仿宋_GB2312" w:cs="仿宋_GB2312"/>
          <w:sz w:val="32"/>
          <w:szCs w:val="32"/>
        </w:rPr>
        <w:t>10</w:t>
      </w:r>
      <w:r>
        <w:rPr>
          <w:rFonts w:hint="eastAsia" w:ascii="仿宋_GB2312" w:hAnsi="仿宋" w:eastAsia="仿宋_GB2312" w:cs="仿宋_GB2312"/>
          <w:sz w:val="32"/>
          <w:szCs w:val="32"/>
        </w:rPr>
        <w:t>号），</w:t>
      </w:r>
      <w:bookmarkStart w:id="0" w:name="_GoBack"/>
      <w:bookmarkEnd w:id="0"/>
      <w:r>
        <w:rPr>
          <w:rFonts w:hint="eastAsia" w:ascii="仿宋_GB2312" w:hAnsi="仿宋" w:eastAsia="仿宋_GB2312" w:cs="仿宋_GB2312"/>
          <w:sz w:val="32"/>
          <w:szCs w:val="32"/>
        </w:rPr>
        <w:t>坚持服务企业发展、维护职工权益，完善政府、工会、企业共同参与的协商协调机制，助推天津经济技术开发区（以下简称开发区）企业构建规范有序、公正合理、互利共赢、和谐稳定的劳动关系，促进区域经济持续健康发展和社会和谐稳定，特制定本办法。</w:t>
      </w:r>
    </w:p>
    <w:p>
      <w:pPr>
        <w:spacing w:line="560" w:lineRule="exact"/>
        <w:ind w:firstLine="640" w:firstLineChars="200"/>
        <w:rPr>
          <w:rFonts w:ascii="仿宋_GB2312" w:hAnsi="仿宋" w:eastAsia="仿宋_GB2312"/>
          <w:sz w:val="32"/>
          <w:szCs w:val="32"/>
        </w:rPr>
      </w:pPr>
      <w:r>
        <w:rPr>
          <w:rFonts w:hint="eastAsia" w:ascii="黑体" w:hAnsi="黑体" w:eastAsia="黑体" w:cs="黑体"/>
          <w:sz w:val="32"/>
          <w:szCs w:val="32"/>
        </w:rPr>
        <w:t>第二条【适用范围】</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本办法适用于在开发区注册经营且在开发区税务部门缴纳税收的各类企业。</w:t>
      </w:r>
    </w:p>
    <w:p>
      <w:pPr>
        <w:spacing w:line="560" w:lineRule="exact"/>
        <w:ind w:firstLine="640" w:firstLineChars="200"/>
        <w:rPr>
          <w:rFonts w:ascii="仿宋_GB2312" w:hAnsi="仿宋" w:eastAsia="仿宋_GB2312"/>
          <w:sz w:val="32"/>
          <w:szCs w:val="32"/>
        </w:rPr>
      </w:pPr>
      <w:r>
        <w:rPr>
          <w:rFonts w:hint="eastAsia" w:ascii="黑体" w:hAnsi="黑体" w:eastAsia="黑体" w:cs="黑体"/>
          <w:sz w:val="32"/>
          <w:szCs w:val="32"/>
        </w:rPr>
        <w:t>第三条【资金设置】</w:t>
      </w:r>
      <w:r>
        <w:rPr>
          <w:rFonts w:ascii="黑体" w:hAnsi="黑体" w:eastAsia="黑体" w:cs="黑体"/>
          <w:sz w:val="32"/>
          <w:szCs w:val="32"/>
        </w:rPr>
        <w:t xml:space="preserve"> </w:t>
      </w:r>
      <w:r>
        <w:rPr>
          <w:rFonts w:hint="eastAsia" w:ascii="仿宋_GB2312" w:hAnsi="仿宋" w:eastAsia="仿宋_GB2312" w:cs="仿宋_GB2312"/>
          <w:sz w:val="32"/>
          <w:szCs w:val="32"/>
        </w:rPr>
        <w:t>天津经济技术开发区管理委员会（以下简称管委会）每年设置总额</w:t>
      </w:r>
      <w:r>
        <w:rPr>
          <w:rFonts w:ascii="仿宋_GB2312" w:hAnsi="仿宋" w:eastAsia="仿宋_GB2312" w:cs="仿宋_GB2312"/>
          <w:sz w:val="32"/>
          <w:szCs w:val="32"/>
        </w:rPr>
        <w:t>1800</w:t>
      </w:r>
      <w:r>
        <w:rPr>
          <w:rFonts w:hint="eastAsia" w:ascii="仿宋_GB2312" w:hAnsi="仿宋" w:eastAsia="仿宋_GB2312" w:cs="仿宋_GB2312"/>
          <w:sz w:val="32"/>
          <w:szCs w:val="32"/>
        </w:rPr>
        <w:t>万元的劳动关系处理专项资金对构建和谐劳动关系各项工作予以支持。</w:t>
      </w:r>
    </w:p>
    <w:p>
      <w:pPr>
        <w:spacing w:line="560" w:lineRule="exact"/>
        <w:ind w:firstLine="640" w:firstLineChars="200"/>
        <w:rPr>
          <w:rFonts w:ascii="仿宋_GB2312" w:hAnsi="仿宋" w:eastAsia="仿宋_GB2312"/>
          <w:sz w:val="32"/>
          <w:szCs w:val="32"/>
        </w:rPr>
      </w:pPr>
      <w:r>
        <w:rPr>
          <w:rFonts w:hint="eastAsia" w:ascii="黑体" w:hAnsi="黑体" w:eastAsia="黑体" w:cs="黑体"/>
          <w:sz w:val="32"/>
          <w:szCs w:val="32"/>
        </w:rPr>
        <w:t>第四条【指导机构】</w:t>
      </w:r>
      <w:r>
        <w:rPr>
          <w:rFonts w:ascii="仿宋_GB2312" w:hAnsi="仿宋" w:eastAsia="仿宋_GB2312" w:cs="仿宋_GB2312"/>
          <w:b/>
          <w:bCs/>
          <w:sz w:val="32"/>
          <w:szCs w:val="32"/>
        </w:rPr>
        <w:t xml:space="preserve"> </w:t>
      </w:r>
      <w:r>
        <w:rPr>
          <w:rFonts w:hint="eastAsia" w:ascii="仿宋_GB2312" w:hAnsi="仿宋" w:eastAsia="仿宋_GB2312" w:cs="仿宋_GB2312"/>
          <w:sz w:val="32"/>
          <w:szCs w:val="32"/>
        </w:rPr>
        <w:t>天津经济技术开发区劳动关系三方协调委员会（以下简称劳动关系三方协调委员会）按照本办法及《开发区企业构建和谐劳动关系指标体系（简称《指标体系》，详见附件）相关规定，负责具体落实开发区构建和谐劳动关系各项工作，深入开展和谐企业、和谐园区创建活动。</w:t>
      </w:r>
    </w:p>
    <w:p>
      <w:pPr>
        <w:spacing w:line="560" w:lineRule="exact"/>
        <w:ind w:firstLine="640" w:firstLineChars="200"/>
        <w:rPr>
          <w:rFonts w:ascii="仿宋_GB2312" w:hAnsi="仿宋" w:eastAsia="仿宋_GB2312"/>
          <w:sz w:val="32"/>
          <w:szCs w:val="32"/>
        </w:rPr>
      </w:pPr>
      <w:r>
        <w:rPr>
          <w:rFonts w:hint="eastAsia" w:ascii="黑体" w:hAnsi="黑体" w:eastAsia="黑体" w:cs="黑体"/>
          <w:sz w:val="32"/>
          <w:szCs w:val="32"/>
        </w:rPr>
        <w:t>第五条【工作保障】</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开发区结合区域劳动关系实际，不断创新完善劳动关系综合治理体系，通过政府购买社会化服务等多种方式，全面开展宣传培训、经验交流、调查研究、分析评估、咨询指导、纠纷调处、预警防控、应急处置、信息化建设等构建和谐劳动关系各项工作，不断完善创建标准、丰富创建内容、提升创建水平、营造和谐氛围。</w:t>
      </w:r>
    </w:p>
    <w:p>
      <w:pPr>
        <w:snapToGrid w:val="0"/>
        <w:spacing w:before="247" w:beforeLines="50" w:after="247" w:afterLines="50" w:line="560" w:lineRule="exact"/>
        <w:jc w:val="center"/>
        <w:rPr>
          <w:rFonts w:ascii="黑体" w:hAnsi="宋体" w:eastAsia="黑体"/>
          <w:bCs/>
          <w:sz w:val="32"/>
          <w:szCs w:val="32"/>
        </w:rPr>
      </w:pPr>
      <w:r>
        <w:rPr>
          <w:rFonts w:hint="eastAsia" w:ascii="黑体" w:hAnsi="宋体" w:eastAsia="黑体" w:cs="黑体"/>
          <w:bCs/>
          <w:sz w:val="32"/>
          <w:szCs w:val="32"/>
        </w:rPr>
        <w:t>第二章</w:t>
      </w:r>
      <w:r>
        <w:rPr>
          <w:rFonts w:ascii="黑体" w:hAnsi="宋体" w:eastAsia="黑体" w:cs="黑体"/>
          <w:bCs/>
          <w:sz w:val="32"/>
          <w:szCs w:val="32"/>
        </w:rPr>
        <w:t xml:space="preserve"> </w:t>
      </w:r>
      <w:r>
        <w:rPr>
          <w:rFonts w:hint="eastAsia" w:ascii="黑体" w:hAnsi="宋体" w:eastAsia="黑体" w:cs="黑体"/>
          <w:bCs/>
          <w:sz w:val="32"/>
          <w:szCs w:val="32"/>
        </w:rPr>
        <w:t>资金支持项目</w:t>
      </w:r>
    </w:p>
    <w:p>
      <w:pPr>
        <w:spacing w:line="560" w:lineRule="exact"/>
        <w:ind w:firstLine="640" w:firstLineChars="200"/>
        <w:rPr>
          <w:rFonts w:ascii="仿宋_GB2312" w:hAnsi="仿宋" w:eastAsia="仿宋_GB2312"/>
          <w:sz w:val="32"/>
          <w:szCs w:val="32"/>
        </w:rPr>
      </w:pPr>
      <w:r>
        <w:rPr>
          <w:rFonts w:hint="eastAsia" w:ascii="黑体" w:hAnsi="黑体" w:eastAsia="黑体" w:cs="黑体"/>
          <w:sz w:val="32"/>
          <w:szCs w:val="32"/>
        </w:rPr>
        <w:t>第六条【保障就业岗位稳定】</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企业年度内在天津市缴纳社会保险职工人数最高月份达</w:t>
      </w:r>
      <w:r>
        <w:rPr>
          <w:rFonts w:ascii="仿宋_GB2312" w:hAnsi="仿宋" w:eastAsia="仿宋_GB2312" w:cs="仿宋_GB2312"/>
          <w:sz w:val="32"/>
          <w:szCs w:val="32"/>
        </w:rPr>
        <w:t>25</w:t>
      </w:r>
      <w:r>
        <w:rPr>
          <w:rFonts w:hint="eastAsia" w:ascii="仿宋_GB2312" w:hAnsi="仿宋" w:eastAsia="仿宋_GB2312" w:cs="仿宋_GB2312"/>
          <w:sz w:val="32"/>
          <w:szCs w:val="32"/>
        </w:rPr>
        <w:t>人以上，因转型升级、重大技术革新或产业结构调整，经内部转岗、技能提升培训等有效措施不裁减人员，保障就业岗位稳定的；或确需裁减人员，采取有效措施促使平稳过渡，未造成社会不良影响，且企业年度内减员率（不含主动离职人员）等于或低于当年度天津市城镇登记失业率的，为职工提供转岗、再就业职业技能培训所支出费用总额的</w:t>
      </w:r>
      <w:r>
        <w:rPr>
          <w:rFonts w:ascii="仿宋_GB2312" w:hAnsi="仿宋" w:eastAsia="仿宋_GB2312" w:cs="仿宋_GB2312"/>
          <w:sz w:val="32"/>
          <w:szCs w:val="32"/>
        </w:rPr>
        <w:t>20%</w:t>
      </w:r>
      <w:r>
        <w:rPr>
          <w:rFonts w:hint="eastAsia" w:ascii="仿宋_GB2312" w:hAnsi="仿宋" w:eastAsia="仿宋_GB2312" w:cs="仿宋_GB2312"/>
          <w:sz w:val="32"/>
          <w:szCs w:val="32"/>
        </w:rPr>
        <w:t>给予资金支持，最高不超过</w:t>
      </w:r>
      <w:r>
        <w:rPr>
          <w:rFonts w:ascii="仿宋_GB2312" w:hAnsi="仿宋" w:eastAsia="仿宋_GB2312" w:cs="仿宋_GB2312"/>
          <w:sz w:val="32"/>
          <w:szCs w:val="32"/>
        </w:rPr>
        <w:t>10</w:t>
      </w:r>
      <w:r>
        <w:rPr>
          <w:rFonts w:hint="eastAsia" w:ascii="仿宋_GB2312" w:hAnsi="仿宋" w:eastAsia="仿宋_GB2312" w:cs="仿宋_GB2312"/>
          <w:sz w:val="32"/>
          <w:szCs w:val="32"/>
        </w:rPr>
        <w:t>万元。</w:t>
      </w:r>
    </w:p>
    <w:p>
      <w:pPr>
        <w:spacing w:line="560" w:lineRule="exact"/>
        <w:ind w:firstLine="640" w:firstLineChars="200"/>
        <w:rPr>
          <w:rFonts w:ascii="仿宋_GB2312" w:hAnsi="仿宋" w:eastAsia="仿宋_GB2312"/>
          <w:sz w:val="32"/>
          <w:szCs w:val="32"/>
        </w:rPr>
      </w:pPr>
      <w:r>
        <w:rPr>
          <w:rFonts w:hint="eastAsia" w:ascii="黑体" w:hAnsi="黑体" w:eastAsia="黑体" w:cs="黑体"/>
          <w:sz w:val="32"/>
          <w:szCs w:val="32"/>
        </w:rPr>
        <w:t>第七条【化解劳动关系危机】</w:t>
      </w:r>
      <w:r>
        <w:rPr>
          <w:rFonts w:ascii="黑体" w:hAnsi="黑体" w:eastAsia="黑体" w:cs="黑体"/>
          <w:sz w:val="32"/>
          <w:szCs w:val="32"/>
        </w:rPr>
        <w:t xml:space="preserve"> </w:t>
      </w:r>
      <w:r>
        <w:rPr>
          <w:rFonts w:hint="eastAsia" w:ascii="仿宋_GB2312" w:hAnsi="仿宋" w:eastAsia="仿宋_GB2312" w:cs="仿宋_GB2312"/>
          <w:sz w:val="32"/>
          <w:szCs w:val="32"/>
        </w:rPr>
        <w:t>企业因生产经营困难等因素发生关停并转情况，涉及一次性裁减</w:t>
      </w:r>
      <w:r>
        <w:rPr>
          <w:rFonts w:ascii="仿宋_GB2312" w:hAnsi="仿宋" w:eastAsia="仿宋_GB2312" w:cs="仿宋_GB2312"/>
          <w:sz w:val="32"/>
          <w:szCs w:val="32"/>
        </w:rPr>
        <w:t>20</w:t>
      </w:r>
      <w:r>
        <w:rPr>
          <w:rFonts w:hint="eastAsia" w:ascii="仿宋_GB2312" w:hAnsi="仿宋" w:eastAsia="仿宋_GB2312" w:cs="仿宋_GB2312"/>
          <w:sz w:val="32"/>
          <w:szCs w:val="32"/>
        </w:rPr>
        <w:t>人及以上人员的，按要求及时向劳动关系三方协调委员会报告，并采取有效措施促使事件平稳过渡，未造成社会不良影响，按照企业年度内在职工安置补偿过程中，为职工提供专场招聘会、再就业职业技能培训以及委托第三方专业机构办理社保、档案关系转移手续所支出费用总额的</w:t>
      </w:r>
      <w:r>
        <w:rPr>
          <w:rFonts w:ascii="仿宋_GB2312" w:hAnsi="仿宋" w:eastAsia="仿宋_GB2312" w:cs="仿宋_GB2312"/>
          <w:sz w:val="32"/>
          <w:szCs w:val="32"/>
        </w:rPr>
        <w:t>20%</w:t>
      </w:r>
      <w:r>
        <w:rPr>
          <w:rFonts w:hint="eastAsia" w:ascii="仿宋_GB2312" w:hAnsi="仿宋" w:eastAsia="仿宋_GB2312" w:cs="仿宋_GB2312"/>
          <w:sz w:val="32"/>
          <w:szCs w:val="32"/>
        </w:rPr>
        <w:t>给予资金支持，最高不超过</w:t>
      </w:r>
      <w:r>
        <w:rPr>
          <w:rFonts w:ascii="仿宋_GB2312" w:hAnsi="仿宋" w:eastAsia="仿宋_GB2312" w:cs="仿宋_GB2312"/>
          <w:sz w:val="32"/>
          <w:szCs w:val="32"/>
        </w:rPr>
        <w:t>10</w:t>
      </w:r>
      <w:r>
        <w:rPr>
          <w:rFonts w:hint="eastAsia" w:ascii="仿宋_GB2312" w:hAnsi="仿宋" w:eastAsia="仿宋_GB2312" w:cs="仿宋_GB2312"/>
          <w:sz w:val="32"/>
          <w:szCs w:val="32"/>
        </w:rPr>
        <w:t>万元。</w:t>
      </w:r>
    </w:p>
    <w:p>
      <w:pPr>
        <w:spacing w:line="560" w:lineRule="exact"/>
        <w:ind w:firstLine="640" w:firstLineChars="200"/>
        <w:rPr>
          <w:rFonts w:ascii="仿宋_GB2312" w:hAnsi="仿宋" w:eastAsia="仿宋_GB2312"/>
          <w:sz w:val="32"/>
          <w:szCs w:val="32"/>
        </w:rPr>
      </w:pPr>
      <w:r>
        <w:rPr>
          <w:rFonts w:hint="eastAsia" w:ascii="黑体" w:hAnsi="黑体" w:eastAsia="黑体" w:cs="黑体"/>
          <w:sz w:val="32"/>
          <w:szCs w:val="32"/>
        </w:rPr>
        <w:t>第八条【促进职工安置分流】</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开发区注册经营的企业在符合本办法第七条规定情况企业的职工安置补偿过程中，招用被裁减人员的（不含被裁减人员就业后再次就业的情况），按照招聘企业年度内办理就业登记手续并依法缴纳社会保险的招用被裁减职工人数，予以每人</w:t>
      </w:r>
      <w:r>
        <w:rPr>
          <w:rFonts w:ascii="仿宋_GB2312" w:hAnsi="仿宋" w:eastAsia="仿宋_GB2312" w:cs="仿宋_GB2312"/>
          <w:sz w:val="32"/>
          <w:szCs w:val="32"/>
        </w:rPr>
        <w:t>1000</w:t>
      </w:r>
      <w:r>
        <w:rPr>
          <w:rFonts w:hint="eastAsia" w:ascii="仿宋_GB2312" w:hAnsi="仿宋" w:eastAsia="仿宋_GB2312" w:cs="仿宋_GB2312"/>
          <w:sz w:val="32"/>
          <w:szCs w:val="32"/>
        </w:rPr>
        <w:t>元资金支持，最高支持</w:t>
      </w:r>
      <w:r>
        <w:rPr>
          <w:rFonts w:ascii="仿宋_GB2312" w:hAnsi="仿宋" w:eastAsia="仿宋_GB2312" w:cs="仿宋_GB2312"/>
          <w:sz w:val="32"/>
          <w:szCs w:val="32"/>
        </w:rPr>
        <w:t>10</w:t>
      </w:r>
      <w:r>
        <w:rPr>
          <w:rFonts w:hint="eastAsia" w:ascii="仿宋_GB2312" w:hAnsi="仿宋" w:eastAsia="仿宋_GB2312" w:cs="仿宋_GB2312"/>
          <w:sz w:val="32"/>
          <w:szCs w:val="32"/>
        </w:rPr>
        <w:t>万元。</w:t>
      </w:r>
    </w:p>
    <w:p>
      <w:pPr>
        <w:spacing w:line="560" w:lineRule="exact"/>
        <w:ind w:firstLine="640" w:firstLineChars="200"/>
        <w:rPr>
          <w:rFonts w:ascii="仿宋_GB2312" w:hAnsi="仿宋" w:eastAsia="仿宋_GB2312"/>
          <w:sz w:val="32"/>
          <w:szCs w:val="32"/>
        </w:rPr>
      </w:pPr>
      <w:r>
        <w:rPr>
          <w:rFonts w:hint="eastAsia" w:ascii="黑体" w:hAnsi="黑体" w:eastAsia="黑体" w:cs="黑体"/>
          <w:sz w:val="32"/>
          <w:szCs w:val="32"/>
        </w:rPr>
        <w:t>第九条【规范劳动用工管理】</w:t>
      </w:r>
      <w:r>
        <w:rPr>
          <w:rFonts w:ascii="黑体" w:hAnsi="黑体" w:eastAsia="黑体" w:cs="黑体"/>
          <w:sz w:val="32"/>
          <w:szCs w:val="32"/>
        </w:rPr>
        <w:t xml:space="preserve"> </w:t>
      </w:r>
      <w:r>
        <w:rPr>
          <w:rFonts w:hint="eastAsia" w:ascii="仿宋_GB2312" w:hAnsi="仿宋" w:eastAsia="仿宋_GB2312" w:cs="仿宋_GB2312"/>
          <w:sz w:val="32"/>
          <w:szCs w:val="32"/>
        </w:rPr>
        <w:t>企业委托有专业资质的人力资源服务机构、律师事务所以及专业性社会组织，为本企业贯彻落实本办法《指标体系》中“劳动关系基础框架指标”各项标准提供专业化服务，按照企业年度内委托第三方所支出费用总额的</w:t>
      </w:r>
      <w:r>
        <w:rPr>
          <w:rFonts w:ascii="仿宋_GB2312" w:hAnsi="仿宋" w:eastAsia="仿宋_GB2312" w:cs="仿宋_GB2312"/>
          <w:sz w:val="32"/>
          <w:szCs w:val="32"/>
        </w:rPr>
        <w:t>20%</w:t>
      </w:r>
      <w:r>
        <w:rPr>
          <w:rFonts w:hint="eastAsia" w:ascii="仿宋_GB2312" w:hAnsi="仿宋" w:eastAsia="仿宋_GB2312" w:cs="仿宋_GB2312"/>
          <w:sz w:val="32"/>
          <w:szCs w:val="32"/>
        </w:rPr>
        <w:t>给予资金支持，最高不超过</w:t>
      </w:r>
      <w:r>
        <w:rPr>
          <w:rFonts w:ascii="仿宋_GB2312" w:hAnsi="仿宋" w:eastAsia="仿宋_GB2312" w:cs="仿宋_GB2312"/>
          <w:sz w:val="32"/>
          <w:szCs w:val="32"/>
        </w:rPr>
        <w:t>10</w:t>
      </w:r>
      <w:r>
        <w:rPr>
          <w:rFonts w:hint="eastAsia" w:ascii="仿宋_GB2312" w:hAnsi="仿宋" w:eastAsia="仿宋_GB2312" w:cs="仿宋_GB2312"/>
          <w:sz w:val="32"/>
          <w:szCs w:val="32"/>
        </w:rPr>
        <w:t>万元。（本条规定支持企业不包括人力资源服务机构、律师事务所以及专业性社会组织）</w:t>
      </w:r>
    </w:p>
    <w:p>
      <w:pPr>
        <w:spacing w:line="560" w:lineRule="exact"/>
        <w:ind w:firstLine="640" w:firstLineChars="200"/>
        <w:rPr>
          <w:rFonts w:ascii="仿宋_GB2312" w:hAnsi="仿宋" w:eastAsia="仿宋_GB2312"/>
          <w:color w:val="FF0000"/>
          <w:sz w:val="32"/>
          <w:szCs w:val="32"/>
        </w:rPr>
      </w:pPr>
      <w:r>
        <w:rPr>
          <w:rFonts w:hint="eastAsia" w:ascii="黑体" w:hAnsi="黑体" w:eastAsia="黑体" w:cs="黑体"/>
          <w:sz w:val="32"/>
          <w:szCs w:val="32"/>
        </w:rPr>
        <w:t>第十条【完善社会保障体系】</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企业为职工建立多层次的社会保障体系，在依法缴纳社会保险情况下，按照企业年度内为职工购买人身意外商业险所支出费用总额的</w:t>
      </w:r>
      <w:r>
        <w:rPr>
          <w:rFonts w:ascii="仿宋_GB2312" w:hAnsi="仿宋" w:eastAsia="仿宋_GB2312" w:cs="仿宋_GB2312"/>
          <w:sz w:val="32"/>
          <w:szCs w:val="32"/>
        </w:rPr>
        <w:t>20%</w:t>
      </w:r>
      <w:r>
        <w:rPr>
          <w:rFonts w:hint="eastAsia" w:ascii="仿宋_GB2312" w:hAnsi="仿宋" w:eastAsia="仿宋_GB2312" w:cs="仿宋_GB2312"/>
          <w:sz w:val="32"/>
          <w:szCs w:val="32"/>
        </w:rPr>
        <w:t>给予资金支持，最高不超过</w:t>
      </w:r>
      <w:r>
        <w:rPr>
          <w:rFonts w:ascii="仿宋_GB2312" w:hAnsi="仿宋" w:eastAsia="仿宋_GB2312" w:cs="仿宋_GB2312"/>
          <w:sz w:val="32"/>
          <w:szCs w:val="32"/>
        </w:rPr>
        <w:t>10</w:t>
      </w:r>
      <w:r>
        <w:rPr>
          <w:rFonts w:hint="eastAsia" w:ascii="仿宋_GB2312" w:hAnsi="仿宋" w:eastAsia="仿宋_GB2312" w:cs="仿宋_GB2312"/>
          <w:sz w:val="32"/>
          <w:szCs w:val="32"/>
        </w:rPr>
        <w:t>万元。（本条规定支持企业不包括国有及国有控股企业）</w:t>
      </w:r>
    </w:p>
    <w:p>
      <w:pPr>
        <w:spacing w:line="560" w:lineRule="exact"/>
        <w:ind w:firstLine="640" w:firstLineChars="200"/>
        <w:rPr>
          <w:rFonts w:ascii="仿宋_GB2312" w:hAnsi="仿宋" w:eastAsia="仿宋_GB2312"/>
          <w:sz w:val="32"/>
          <w:szCs w:val="32"/>
        </w:rPr>
      </w:pPr>
      <w:r>
        <w:rPr>
          <w:rFonts w:hint="eastAsia" w:ascii="黑体" w:hAnsi="黑体" w:eastAsia="黑体" w:cs="黑体"/>
          <w:sz w:val="32"/>
          <w:szCs w:val="32"/>
        </w:rPr>
        <w:t>第十一条【强化基层调解组织】</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企业是已命名且在有效期内的区级及以上劳动关系和谐企业，建立企业劳动争议调解委员会，按程序向开发区劳动人事争议调解中心登记备案，符合天津市“六统一”建设标准，并保障正常运行，成功化解企业内部劳资纠纷，年度内未发生劳动争议仲裁、劳动保障监察投诉案件；或虽有案件，但能依法积极配合处理实现案结事了，未发生案件败诉或违法情形的，每年给予</w:t>
      </w:r>
      <w:r>
        <w:rPr>
          <w:rFonts w:ascii="仿宋_GB2312" w:hAnsi="仿宋" w:eastAsia="仿宋_GB2312" w:cs="仿宋_GB2312"/>
          <w:sz w:val="32"/>
          <w:szCs w:val="32"/>
        </w:rPr>
        <w:t>5000</w:t>
      </w:r>
      <w:r>
        <w:rPr>
          <w:rFonts w:hint="eastAsia" w:ascii="仿宋_GB2312" w:hAnsi="仿宋" w:eastAsia="仿宋_GB2312" w:cs="仿宋_GB2312"/>
          <w:sz w:val="32"/>
          <w:szCs w:val="32"/>
        </w:rPr>
        <w:t>元资金支持。</w:t>
      </w:r>
    </w:p>
    <w:p>
      <w:pPr>
        <w:snapToGrid w:val="0"/>
        <w:spacing w:before="247" w:beforeLines="50" w:after="247" w:afterLines="50" w:line="560" w:lineRule="exact"/>
        <w:jc w:val="center"/>
        <w:rPr>
          <w:rFonts w:ascii="黑体" w:hAnsi="宋体" w:eastAsia="黑体"/>
          <w:bCs/>
          <w:sz w:val="32"/>
          <w:szCs w:val="32"/>
        </w:rPr>
      </w:pPr>
      <w:r>
        <w:rPr>
          <w:rFonts w:hint="eastAsia" w:ascii="黑体" w:hAnsi="宋体" w:eastAsia="黑体" w:cs="黑体"/>
          <w:bCs/>
          <w:sz w:val="32"/>
          <w:szCs w:val="32"/>
        </w:rPr>
        <w:t>第三章</w:t>
      </w:r>
      <w:r>
        <w:rPr>
          <w:rFonts w:ascii="黑体" w:hAnsi="宋体" w:eastAsia="黑体" w:cs="黑体"/>
          <w:bCs/>
          <w:sz w:val="32"/>
          <w:szCs w:val="32"/>
        </w:rPr>
        <w:t xml:space="preserve"> </w:t>
      </w:r>
      <w:r>
        <w:rPr>
          <w:rFonts w:hint="eastAsia" w:ascii="黑体" w:hAnsi="宋体" w:eastAsia="黑体" w:cs="黑体"/>
          <w:bCs/>
          <w:sz w:val="32"/>
          <w:szCs w:val="32"/>
        </w:rPr>
        <w:t>示范激励</w:t>
      </w:r>
    </w:p>
    <w:p>
      <w:pPr>
        <w:spacing w:line="560" w:lineRule="exact"/>
        <w:ind w:firstLine="640" w:firstLineChars="200"/>
        <w:rPr>
          <w:rFonts w:ascii="仿宋_GB2312" w:hAnsi="仿宋" w:eastAsia="仿宋_GB2312"/>
          <w:sz w:val="32"/>
          <w:szCs w:val="32"/>
        </w:rPr>
      </w:pPr>
      <w:r>
        <w:rPr>
          <w:rFonts w:hint="eastAsia" w:ascii="黑体" w:hAnsi="黑体" w:eastAsia="黑体" w:cs="黑体"/>
          <w:sz w:val="32"/>
          <w:szCs w:val="32"/>
        </w:rPr>
        <w:t>第十二条【最佳雇主暨示范企业】</w:t>
      </w:r>
      <w:r>
        <w:rPr>
          <w:rFonts w:ascii="黑体" w:hAnsi="黑体" w:eastAsia="黑体" w:cs="黑体"/>
          <w:sz w:val="32"/>
          <w:szCs w:val="32"/>
        </w:rPr>
        <w:t xml:space="preserve"> </w:t>
      </w:r>
      <w:r>
        <w:rPr>
          <w:rFonts w:hint="eastAsia" w:ascii="仿宋_GB2312" w:hAnsi="仿宋" w:eastAsia="仿宋_GB2312" w:cs="仿宋_GB2312"/>
          <w:sz w:val="32"/>
          <w:szCs w:val="32"/>
        </w:rPr>
        <w:t>为发挥典型劳动关系和谐企业的示范激励作用，支持和谐企业健康发展，促进区域劳动关系共建、共享、共治，开发区建立“最佳雇主暨构建和谐劳动关系示范企业”（简称最佳雇主暨示范企业）年度发布制度。</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企业是已命名且在有效期内的区级及以上劳动关系和谐企业，凡上年度被评为开发区百强企业，且无本办法《指标体系》中规定的一票否决情形，将确定为年度最佳雇主暨示范企业，由管委会通报表扬。</w:t>
      </w:r>
    </w:p>
    <w:p>
      <w:pPr>
        <w:spacing w:line="560" w:lineRule="exact"/>
        <w:ind w:firstLine="640" w:firstLineChars="200"/>
        <w:rPr>
          <w:rFonts w:ascii="仿宋_GB2312" w:hAnsi="仿宋" w:eastAsia="仿宋_GB2312"/>
          <w:sz w:val="32"/>
          <w:szCs w:val="32"/>
        </w:rPr>
      </w:pPr>
      <w:r>
        <w:rPr>
          <w:rFonts w:hint="eastAsia" w:ascii="黑体" w:hAnsi="黑体" w:eastAsia="黑体" w:cs="黑体"/>
          <w:sz w:val="32"/>
          <w:szCs w:val="32"/>
        </w:rPr>
        <w:t>第十三条【优惠政策和礼遇】</w:t>
      </w:r>
      <w:r>
        <w:rPr>
          <w:rFonts w:ascii="黑体" w:hAnsi="黑体" w:eastAsia="黑体" w:cs="黑体"/>
          <w:sz w:val="32"/>
          <w:szCs w:val="32"/>
        </w:rPr>
        <w:t xml:space="preserve"> </w:t>
      </w:r>
      <w:r>
        <w:rPr>
          <w:rFonts w:hint="eastAsia" w:ascii="仿宋_GB2312" w:hAnsi="仿宋" w:eastAsia="仿宋_GB2312" w:cs="仿宋_GB2312"/>
          <w:sz w:val="32"/>
          <w:szCs w:val="32"/>
        </w:rPr>
        <w:t>最佳雇主暨示范企业享受以下优惠政策和礼遇：</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（一）用人单位享有参加天津市“五一”劳动奖状、模范集体评选的资格；</w:t>
      </w:r>
      <w:r>
        <w:rPr>
          <w:rFonts w:ascii="仿宋_GB2312" w:hAnsi="仿宋" w:eastAsia="仿宋_GB2312" w:cs="仿宋_GB2312"/>
          <w:sz w:val="32"/>
          <w:szCs w:val="32"/>
        </w:rPr>
        <w:t xml:space="preserve"> </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（二）用人单位经营者享有参加天津市“五一”劳动奖章、劳动模范、优秀企业家评选的资格；</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（三）免于劳动保障书面审查</w:t>
      </w:r>
      <w:r>
        <w:rPr>
          <w:rFonts w:ascii="仿宋_GB2312" w:hAnsi="仿宋" w:eastAsia="仿宋_GB2312" w:cs="仿宋_GB2312"/>
          <w:sz w:val="32"/>
          <w:szCs w:val="32"/>
        </w:rPr>
        <w:t>,</w:t>
      </w:r>
      <w:r>
        <w:rPr>
          <w:rFonts w:hint="eastAsia" w:ascii="仿宋_GB2312" w:hAnsi="仿宋" w:eastAsia="仿宋_GB2312" w:cs="仿宋_GB2312"/>
          <w:sz w:val="32"/>
          <w:szCs w:val="32"/>
        </w:rPr>
        <w:t>并纳入用人单位劳动监察守法信用</w:t>
      </w:r>
      <w:r>
        <w:rPr>
          <w:rFonts w:ascii="仿宋_GB2312" w:hAnsi="仿宋" w:eastAsia="仿宋_GB2312" w:cs="仿宋_GB2312"/>
          <w:sz w:val="32"/>
          <w:szCs w:val="32"/>
        </w:rPr>
        <w:t>A</w:t>
      </w:r>
      <w:r>
        <w:rPr>
          <w:rFonts w:hint="eastAsia" w:ascii="仿宋_GB2312" w:hAnsi="仿宋" w:eastAsia="仿宋_GB2312" w:cs="仿宋_GB2312"/>
          <w:sz w:val="32"/>
          <w:szCs w:val="32"/>
        </w:rPr>
        <w:t>级企业类别管理；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（四）在管委会官网及劳动关系三方协调委员会各成员单位网站进行公布，向社会推介企业优秀事迹；</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（五）管委会每年对最佳雇主暨示范企业及其构建和谐劳动关系工作中表现突出的先进个人进行通报表扬。</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（六）享受劳动关系三方协调委员会劳动保障法律政策、人力资源管理、劳动关系协调等方面的政府公益性宣讲培训服务。</w:t>
      </w:r>
    </w:p>
    <w:p>
      <w:pPr>
        <w:snapToGrid w:val="0"/>
        <w:spacing w:before="247" w:beforeLines="50" w:after="247" w:afterLines="50" w:line="560" w:lineRule="exact"/>
        <w:jc w:val="center"/>
        <w:rPr>
          <w:rFonts w:ascii="黑体" w:hAnsi="宋体" w:eastAsia="黑体"/>
          <w:bCs/>
          <w:sz w:val="32"/>
          <w:szCs w:val="32"/>
        </w:rPr>
      </w:pPr>
      <w:r>
        <w:rPr>
          <w:rFonts w:hint="eastAsia" w:ascii="黑体" w:hAnsi="宋体" w:eastAsia="黑体" w:cs="黑体"/>
          <w:bCs/>
          <w:sz w:val="32"/>
          <w:szCs w:val="32"/>
        </w:rPr>
        <w:t>第四章</w:t>
      </w:r>
      <w:r>
        <w:rPr>
          <w:rFonts w:ascii="黑体" w:hAnsi="宋体" w:eastAsia="黑体" w:cs="黑体"/>
          <w:bCs/>
          <w:sz w:val="32"/>
          <w:szCs w:val="32"/>
        </w:rPr>
        <w:t xml:space="preserve"> </w:t>
      </w:r>
      <w:r>
        <w:rPr>
          <w:rFonts w:hint="eastAsia" w:ascii="黑体" w:hAnsi="宋体" w:eastAsia="黑体" w:cs="黑体"/>
          <w:bCs/>
          <w:sz w:val="32"/>
          <w:szCs w:val="32"/>
        </w:rPr>
        <w:t>申报程序</w:t>
      </w:r>
    </w:p>
    <w:p>
      <w:pPr>
        <w:spacing w:line="560" w:lineRule="exact"/>
        <w:ind w:firstLine="640" w:firstLineChars="200"/>
        <w:rPr>
          <w:rFonts w:ascii="仿宋_GB2312" w:hAnsi="仿宋" w:eastAsia="仿宋_GB2312"/>
          <w:sz w:val="32"/>
          <w:szCs w:val="32"/>
        </w:rPr>
      </w:pPr>
      <w:r>
        <w:rPr>
          <w:rFonts w:hint="eastAsia" w:ascii="黑体" w:hAnsi="黑体" w:eastAsia="黑体" w:cs="黑体"/>
          <w:sz w:val="32"/>
          <w:szCs w:val="32"/>
        </w:rPr>
        <w:t>第十四条【发布通知】</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劳动关系三方协调委员会按照本办法及《指标体系》的规定，每年度适时发布开发区促进企业构建和谐劳动关系资金支持项目申报通知，确定年度申报时间、具体条件、程序及需提交的材料等事项。</w:t>
      </w:r>
    </w:p>
    <w:p>
      <w:pPr>
        <w:spacing w:line="560" w:lineRule="exact"/>
        <w:ind w:firstLine="640" w:firstLineChars="200"/>
        <w:rPr>
          <w:rFonts w:ascii="仿宋_GB2312" w:hAnsi="仿宋" w:eastAsia="仿宋_GB2312"/>
          <w:sz w:val="32"/>
          <w:szCs w:val="32"/>
        </w:rPr>
      </w:pPr>
      <w:r>
        <w:rPr>
          <w:rFonts w:hint="eastAsia" w:ascii="黑体" w:hAnsi="黑体" w:eastAsia="黑体" w:cs="黑体"/>
          <w:sz w:val="32"/>
          <w:szCs w:val="32"/>
        </w:rPr>
        <w:t>第十五条【企业申报】</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企业应按本办法相关规定和每年度劳动关系三方协调委员会发布的申报通知要求及时参加申报，对未按规定要求参加的，取消其年度获得资金支持的资格。企业申报本办法第六条至第十一条规定的支持资金项目，必须无本办法《指标体系》中规定的一票否决情形。</w:t>
      </w:r>
    </w:p>
    <w:p>
      <w:pPr>
        <w:spacing w:line="560" w:lineRule="exact"/>
        <w:ind w:firstLine="640" w:firstLineChars="200"/>
        <w:rPr>
          <w:rFonts w:ascii="仿宋_GB2312" w:hAnsi="仿宋" w:eastAsia="仿宋_GB2312" w:cs="仿宋_GB2312"/>
          <w:sz w:val="32"/>
          <w:szCs w:val="32"/>
        </w:rPr>
      </w:pPr>
      <w:r>
        <w:rPr>
          <w:rFonts w:hint="eastAsia" w:ascii="黑体" w:hAnsi="黑体" w:eastAsia="黑体" w:cs="黑体"/>
          <w:sz w:val="32"/>
          <w:szCs w:val="32"/>
        </w:rPr>
        <w:t>第十六条【资金分配】</w:t>
      </w:r>
      <w:r>
        <w:rPr>
          <w:rFonts w:ascii="黑体" w:hAnsi="黑体" w:eastAsia="黑体" w:cs="黑体"/>
          <w:sz w:val="32"/>
          <w:szCs w:val="32"/>
        </w:rPr>
        <w:t xml:space="preserve"> </w:t>
      </w:r>
      <w:r>
        <w:rPr>
          <w:rFonts w:hint="eastAsia" w:ascii="仿宋_GB2312" w:hAnsi="仿宋" w:eastAsia="仿宋_GB2312" w:cs="仿宋_GB2312"/>
          <w:sz w:val="32"/>
          <w:szCs w:val="32"/>
        </w:rPr>
        <w:t>本办法第五条规定的工作保障费用和第六条至十一条规定的资金支持项目费用，均在“劳动关系处理专项资金”中列支。其中，工作保障费用支出不超过“劳动关系处理专项资金”的</w:t>
      </w:r>
      <w:r>
        <w:rPr>
          <w:rFonts w:ascii="仿宋_GB2312" w:hAnsi="仿宋" w:eastAsia="仿宋_GB2312" w:cs="仿宋_GB2312"/>
          <w:sz w:val="32"/>
          <w:szCs w:val="32"/>
        </w:rPr>
        <w:t>20%</w:t>
      </w:r>
      <w:r>
        <w:rPr>
          <w:rFonts w:hint="eastAsia" w:ascii="仿宋_GB2312" w:hAnsi="仿宋" w:eastAsia="仿宋_GB2312" w:cs="仿宋_GB2312"/>
          <w:sz w:val="32"/>
          <w:szCs w:val="32"/>
        </w:rPr>
        <w:t>；每年度申报资金支持项目的企业，所获得的具体资金支持额度，根据年度所有申报企业符合支持条件项目费用的审计审核情况及工作保障费用支出情况按比例确定。</w:t>
      </w:r>
      <w:r>
        <w:rPr>
          <w:rFonts w:ascii="仿宋_GB2312" w:hAnsi="仿宋" w:eastAsia="仿宋_GB2312" w:cs="仿宋_GB2312"/>
          <w:sz w:val="32"/>
          <w:szCs w:val="32"/>
        </w:rPr>
        <w:t xml:space="preserve"> </w:t>
      </w:r>
    </w:p>
    <w:p>
      <w:pPr>
        <w:spacing w:line="560" w:lineRule="exact"/>
        <w:ind w:firstLine="640" w:firstLineChars="200"/>
        <w:rPr>
          <w:rFonts w:ascii="仿宋_GB2312" w:hAnsi="仿宋" w:eastAsia="仿宋_GB2312"/>
          <w:sz w:val="32"/>
          <w:szCs w:val="32"/>
        </w:rPr>
      </w:pPr>
      <w:r>
        <w:rPr>
          <w:rFonts w:hint="eastAsia" w:ascii="黑体" w:hAnsi="黑体" w:eastAsia="黑体" w:cs="黑体"/>
          <w:sz w:val="32"/>
          <w:szCs w:val="32"/>
        </w:rPr>
        <w:t>第十七条【资金兑现】</w:t>
      </w:r>
      <w:r>
        <w:rPr>
          <w:rFonts w:ascii="仿宋_GB2312" w:hAnsi="仿宋" w:eastAsia="仿宋_GB2312" w:cs="仿宋_GB2312"/>
          <w:b/>
          <w:bCs/>
          <w:sz w:val="32"/>
          <w:szCs w:val="32"/>
        </w:rPr>
        <w:t xml:space="preserve"> </w:t>
      </w:r>
      <w:r>
        <w:rPr>
          <w:rFonts w:hint="eastAsia" w:ascii="仿宋_GB2312" w:hAnsi="仿宋" w:eastAsia="仿宋_GB2312" w:cs="仿宋_GB2312"/>
          <w:sz w:val="32"/>
          <w:szCs w:val="32"/>
        </w:rPr>
        <w:t>劳动关系三方协调委员会经企业申报、综合审议、审计核准等程序，对符合开发区构建和谐劳动关系资金支持项目条件的企业名单、支持金额，通过管委会政务服务平台网站向社会公示，经公示无异议后，报请管委会批准，兑现支持资金。</w:t>
      </w:r>
    </w:p>
    <w:p>
      <w:pPr>
        <w:snapToGrid w:val="0"/>
        <w:spacing w:before="247" w:beforeLines="50" w:after="247" w:afterLines="50" w:line="560" w:lineRule="exact"/>
        <w:jc w:val="center"/>
        <w:rPr>
          <w:rFonts w:ascii="黑体" w:hAnsi="宋体" w:eastAsia="黑体"/>
          <w:bCs/>
          <w:sz w:val="32"/>
          <w:szCs w:val="32"/>
        </w:rPr>
      </w:pPr>
      <w:r>
        <w:rPr>
          <w:rFonts w:hint="eastAsia" w:ascii="黑体" w:hAnsi="宋体" w:eastAsia="黑体" w:cs="黑体"/>
          <w:bCs/>
          <w:sz w:val="32"/>
          <w:szCs w:val="32"/>
        </w:rPr>
        <w:t>第五章</w:t>
      </w:r>
      <w:r>
        <w:rPr>
          <w:rFonts w:ascii="黑体" w:hAnsi="宋体" w:eastAsia="黑体" w:cs="黑体"/>
          <w:bCs/>
          <w:sz w:val="32"/>
          <w:szCs w:val="32"/>
        </w:rPr>
        <w:t xml:space="preserve"> </w:t>
      </w:r>
      <w:r>
        <w:rPr>
          <w:rFonts w:hint="eastAsia" w:ascii="黑体" w:hAnsi="宋体" w:eastAsia="黑体" w:cs="黑体"/>
          <w:bCs/>
          <w:sz w:val="32"/>
          <w:szCs w:val="32"/>
        </w:rPr>
        <w:t>附则</w:t>
      </w:r>
    </w:p>
    <w:p>
      <w:pPr>
        <w:spacing w:line="560" w:lineRule="exact"/>
        <w:ind w:firstLine="640" w:firstLineChars="200"/>
        <w:rPr>
          <w:rFonts w:ascii="仿宋_GB2312" w:hAnsi="仿宋" w:eastAsia="仿宋_GB2312"/>
          <w:sz w:val="32"/>
          <w:szCs w:val="32"/>
        </w:rPr>
      </w:pPr>
      <w:r>
        <w:rPr>
          <w:rFonts w:hint="eastAsia" w:ascii="黑体" w:hAnsi="宋体" w:eastAsia="黑体" w:cs="黑体"/>
          <w:sz w:val="32"/>
          <w:szCs w:val="32"/>
        </w:rPr>
        <w:t>第十八条【资金用途】</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企业所得支持资金应专款专用，用于促进企业构建和谐劳动关系各项工作。</w:t>
      </w:r>
    </w:p>
    <w:p>
      <w:pPr>
        <w:spacing w:line="560" w:lineRule="exact"/>
        <w:ind w:firstLine="640" w:firstLineChars="200"/>
        <w:rPr>
          <w:rFonts w:ascii="仿宋_GB2312" w:hAnsi="仿宋" w:eastAsia="仿宋_GB2312"/>
          <w:sz w:val="32"/>
          <w:szCs w:val="32"/>
        </w:rPr>
      </w:pPr>
      <w:r>
        <w:rPr>
          <w:rFonts w:hint="eastAsia" w:ascii="黑体" w:hAnsi="宋体" w:eastAsia="黑体" w:cs="黑体"/>
          <w:sz w:val="32"/>
          <w:szCs w:val="32"/>
        </w:rPr>
        <w:t>第十九条【监督管理】</w:t>
      </w:r>
      <w:r>
        <w:rPr>
          <w:rFonts w:ascii="黑体" w:hAnsi="宋体" w:eastAsia="黑体" w:cs="黑体"/>
          <w:sz w:val="32"/>
          <w:szCs w:val="32"/>
        </w:rPr>
        <w:t xml:space="preserve"> </w:t>
      </w:r>
      <w:r>
        <w:rPr>
          <w:rFonts w:hint="eastAsia" w:ascii="仿宋_GB2312" w:hAnsi="仿宋" w:eastAsia="仿宋_GB2312" w:cs="仿宋_GB2312"/>
          <w:sz w:val="32"/>
          <w:szCs w:val="32"/>
        </w:rPr>
        <w:t>企业发生因劳动关系问题被行政处罚等《指标体系》中规定的一票否决情形，劳动关系三方协调委员会将按程序取消其“最佳雇主暨示范企业”、“劳动关系和谐企业”称号，并及时予以社会公示，同时取消其事件发生年度申报资金支持的资格。</w:t>
      </w:r>
    </w:p>
    <w:p>
      <w:pPr>
        <w:spacing w:line="560" w:lineRule="exact"/>
        <w:ind w:firstLine="640" w:firstLineChars="200"/>
        <w:rPr>
          <w:rFonts w:ascii="仿宋_GB2312" w:hAnsi="仿宋" w:eastAsia="仿宋_GB2312"/>
          <w:sz w:val="32"/>
          <w:szCs w:val="32"/>
        </w:rPr>
      </w:pPr>
      <w:r>
        <w:rPr>
          <w:rFonts w:hint="eastAsia" w:ascii="黑体" w:hAnsi="宋体" w:eastAsia="黑体" w:cs="黑体"/>
          <w:sz w:val="32"/>
          <w:szCs w:val="32"/>
        </w:rPr>
        <w:t>第二十条【法律责任】</w:t>
      </w:r>
      <w:r>
        <w:rPr>
          <w:rFonts w:ascii="仿宋_GB2312" w:hAnsi="仿宋" w:eastAsia="仿宋_GB2312" w:cs="仿宋_GB2312"/>
          <w:b/>
          <w:bCs/>
          <w:sz w:val="32"/>
          <w:szCs w:val="32"/>
        </w:rPr>
        <w:t xml:space="preserve"> </w:t>
      </w:r>
      <w:r>
        <w:rPr>
          <w:rFonts w:hint="eastAsia" w:ascii="仿宋_GB2312" w:hAnsi="仿宋" w:eastAsia="仿宋_GB2312" w:cs="仿宋_GB2312"/>
          <w:sz w:val="32"/>
          <w:szCs w:val="32"/>
        </w:rPr>
        <w:t>企业因弄虚作假骗取管委会支持资金的，一经发现将追回支持资金、取消本办法有效期内的申报资格，并及时向社会公布，不良记录纳入企业征信体系；涉嫌违法犯罪的，依法移送相关部门追究企业和主要责任人法律责任。</w:t>
      </w:r>
    </w:p>
    <w:p>
      <w:pPr>
        <w:spacing w:line="560" w:lineRule="exact"/>
        <w:ind w:firstLine="640" w:firstLineChars="200"/>
        <w:rPr>
          <w:rFonts w:ascii="仿宋_GB2312" w:hAnsi="仿宋" w:eastAsia="仿宋_GB2312"/>
          <w:sz w:val="32"/>
          <w:szCs w:val="32"/>
        </w:rPr>
      </w:pPr>
      <w:r>
        <w:rPr>
          <w:rFonts w:hint="eastAsia" w:ascii="黑体" w:hAnsi="宋体" w:eastAsia="黑体" w:cs="黑体"/>
          <w:sz w:val="32"/>
          <w:szCs w:val="32"/>
        </w:rPr>
        <w:t>第二十一条【解释权】</w:t>
      </w:r>
      <w:r>
        <w:rPr>
          <w:rFonts w:ascii="仿宋_GB2312" w:hAnsi="仿宋" w:eastAsia="仿宋_GB2312" w:cs="仿宋_GB2312"/>
          <w:b/>
          <w:bCs/>
          <w:sz w:val="32"/>
          <w:szCs w:val="32"/>
        </w:rPr>
        <w:t xml:space="preserve"> </w:t>
      </w:r>
      <w:r>
        <w:rPr>
          <w:rFonts w:hint="eastAsia" w:ascii="仿宋_GB2312" w:hAnsi="仿宋" w:eastAsia="仿宋_GB2312" w:cs="仿宋_GB2312"/>
          <w:sz w:val="32"/>
          <w:szCs w:val="32"/>
        </w:rPr>
        <w:t>本办法由管委会负责解释。</w:t>
      </w:r>
    </w:p>
    <w:p>
      <w:pPr>
        <w:spacing w:line="560" w:lineRule="exact"/>
        <w:ind w:firstLine="640" w:firstLineChars="200"/>
        <w:rPr>
          <w:rFonts w:ascii="仿宋_GB2312" w:hAnsi="仿宋" w:eastAsia="仿宋_GB2312"/>
          <w:sz w:val="32"/>
          <w:szCs w:val="32"/>
        </w:rPr>
      </w:pPr>
      <w:r>
        <w:rPr>
          <w:rFonts w:hint="eastAsia" w:ascii="黑体" w:hAnsi="宋体" w:eastAsia="黑体" w:cs="黑体"/>
          <w:sz w:val="32"/>
          <w:szCs w:val="32"/>
        </w:rPr>
        <w:t>第二十二条【实施时间】</w:t>
      </w:r>
      <w:r>
        <w:rPr>
          <w:rFonts w:ascii="黑体" w:hAnsi="宋体" w:eastAsia="黑体" w:cs="黑体"/>
          <w:sz w:val="32"/>
          <w:szCs w:val="32"/>
        </w:rPr>
        <w:t xml:space="preserve"> </w:t>
      </w:r>
      <w:r>
        <w:rPr>
          <w:rFonts w:hint="eastAsia" w:ascii="仿宋_GB2312" w:hAnsi="仿宋" w:eastAsia="仿宋_GB2312" w:cs="仿宋_GB2312"/>
          <w:sz w:val="32"/>
          <w:szCs w:val="32"/>
        </w:rPr>
        <w:t>本办法</w:t>
      </w:r>
      <w:r>
        <w:rPr>
          <w:rFonts w:hint="eastAsia" w:eastAsia="仿宋_GB2312" w:cs="仿宋_GB2312"/>
          <w:sz w:val="32"/>
          <w:szCs w:val="32"/>
        </w:rPr>
        <w:t>自</w:t>
      </w:r>
      <w:r>
        <w:rPr>
          <w:rFonts w:eastAsia="仿宋_GB2312"/>
          <w:sz w:val="32"/>
          <w:szCs w:val="32"/>
        </w:rPr>
        <w:t>2018</w:t>
      </w:r>
      <w:r>
        <w:rPr>
          <w:rFonts w:hint="eastAsia" w:eastAsia="仿宋_GB2312" w:cs="仿宋_GB2312"/>
          <w:sz w:val="32"/>
          <w:szCs w:val="32"/>
        </w:rPr>
        <w:t>年</w:t>
      </w:r>
      <w:r>
        <w:rPr>
          <w:rFonts w:eastAsia="仿宋_GB2312"/>
          <w:sz w:val="32"/>
          <w:szCs w:val="32"/>
        </w:rPr>
        <w:t>1</w:t>
      </w:r>
      <w:r>
        <w:rPr>
          <w:rFonts w:hint="eastAsia" w:eastAsia="仿宋_GB2312" w:cs="仿宋_GB2312"/>
          <w:sz w:val="32"/>
          <w:szCs w:val="32"/>
        </w:rPr>
        <w:t>月</w:t>
      </w:r>
      <w:r>
        <w:rPr>
          <w:rFonts w:ascii="仿宋_GB2312" w:hAnsi="仿宋" w:eastAsia="仿宋_GB2312" w:cs="仿宋_GB2312"/>
          <w:sz w:val="32"/>
          <w:szCs w:val="32"/>
        </w:rPr>
        <w:t>1</w:t>
      </w:r>
      <w:r>
        <w:rPr>
          <w:rFonts w:hint="eastAsia" w:ascii="仿宋_GB2312" w:hAnsi="仿宋" w:eastAsia="仿宋_GB2312" w:cs="仿宋_GB2312"/>
          <w:sz w:val="32"/>
          <w:szCs w:val="32"/>
        </w:rPr>
        <w:t>日开始执行，有效期五年。有效期届满或有关法律政策依据变化，将根据实施情况予以评估修订。</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cs="仿宋_GB2312"/>
          <w:sz w:val="32"/>
          <w:szCs w:val="32"/>
        </w:rPr>
        <w:sectPr>
          <w:headerReference r:id="rId3" w:type="default"/>
          <w:footerReference r:id="rId4" w:type="default"/>
          <w:footerReference r:id="rId5" w:type="even"/>
          <w:pgSz w:w="11906" w:h="16838"/>
          <w:pgMar w:top="1984" w:right="1474" w:bottom="1984" w:left="1587" w:header="851" w:footer="992" w:gutter="0"/>
          <w:pgNumType w:fmt="numberInDash"/>
          <w:cols w:space="720" w:num="1"/>
          <w:docGrid w:type="lines" w:linePitch="495" w:charSpace="0"/>
        </w:sectPr>
      </w:pPr>
      <w:r>
        <w:rPr>
          <w:rFonts w:hint="eastAsia" w:ascii="仿宋_GB2312" w:hAnsi="仿宋" w:eastAsia="仿宋_GB2312" w:cs="仿宋_GB2312"/>
          <w:sz w:val="32"/>
          <w:szCs w:val="32"/>
        </w:rPr>
        <w:t>附件：开发区企业构建和谐劳动关系指标体系</w:t>
      </w:r>
      <w:r>
        <w:rPr>
          <w:rFonts w:ascii="仿宋_GB2312" w:hAnsi="仿宋" w:eastAsia="仿宋_GB2312" w:cs="仿宋_GB2312"/>
          <w:sz w:val="32"/>
          <w:szCs w:val="32"/>
        </w:rPr>
        <w:t xml:space="preserve">  </w:t>
      </w:r>
    </w:p>
    <w:p>
      <w:pPr>
        <w:spacing w:line="600" w:lineRule="exact"/>
        <w:jc w:val="left"/>
        <w:rPr>
          <w:rFonts w:ascii="黑体" w:hAnsi="仿宋" w:eastAsia="黑体"/>
          <w:sz w:val="32"/>
          <w:szCs w:val="32"/>
        </w:rPr>
      </w:pPr>
      <w:r>
        <w:rPr>
          <w:rFonts w:hint="eastAsia" w:ascii="黑体" w:hAnsi="仿宋" w:eastAsia="黑体" w:cs="黑体"/>
          <w:sz w:val="32"/>
          <w:szCs w:val="32"/>
        </w:rPr>
        <w:t>天津经济技术开发区促进企业构建和谐劳动关系支持办法的附件</w:t>
      </w:r>
    </w:p>
    <w:p>
      <w:pPr>
        <w:spacing w:line="600" w:lineRule="exact"/>
        <w:jc w:val="center"/>
        <w:rPr>
          <w:rFonts w:ascii="方正小标宋简体" w:eastAsia="方正小标宋简体"/>
          <w:sz w:val="44"/>
          <w:szCs w:val="44"/>
        </w:rPr>
      </w:pPr>
      <w:r>
        <w:rPr>
          <w:rFonts w:hint="eastAsia" w:ascii="方正小标宋简体" w:eastAsia="方正小标宋简体" w:cs="方正小标宋简体"/>
          <w:bCs/>
          <w:sz w:val="44"/>
          <w:szCs w:val="44"/>
        </w:rPr>
        <w:t>开发区企业构建和谐劳动关系指标体系</w:t>
      </w:r>
    </w:p>
    <w:tbl>
      <w:tblPr>
        <w:tblStyle w:val="7"/>
        <w:tblW w:w="1488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4"/>
        <w:gridCol w:w="2388"/>
        <w:gridCol w:w="11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724" w:type="dxa"/>
            <w:noWrap w:val="0"/>
            <w:vAlign w:val="center"/>
          </w:tcPr>
          <w:p>
            <w:pPr>
              <w:spacing w:line="260" w:lineRule="exact"/>
              <w:jc w:val="center"/>
              <w:rPr>
                <w:rFonts w:ascii="仿宋_GB2312" w:eastAsia="仿宋_GB2312"/>
                <w:b/>
                <w:bCs/>
              </w:rPr>
            </w:pPr>
            <w:r>
              <w:rPr>
                <w:rFonts w:hint="eastAsia" w:ascii="仿宋_GB2312" w:hAnsi="宋体" w:eastAsia="仿宋_GB2312" w:cs="仿宋_GB2312"/>
                <w:b/>
                <w:bCs/>
              </w:rPr>
              <w:t>一级指标</w:t>
            </w:r>
          </w:p>
        </w:tc>
        <w:tc>
          <w:tcPr>
            <w:tcW w:w="2388" w:type="dxa"/>
            <w:noWrap w:val="0"/>
            <w:vAlign w:val="center"/>
          </w:tcPr>
          <w:p>
            <w:pPr>
              <w:spacing w:line="260" w:lineRule="exact"/>
              <w:jc w:val="center"/>
              <w:rPr>
                <w:rFonts w:ascii="仿宋_GB2312" w:eastAsia="仿宋_GB2312"/>
                <w:b/>
                <w:bCs/>
              </w:rPr>
            </w:pPr>
            <w:r>
              <w:rPr>
                <w:rFonts w:hint="eastAsia" w:ascii="仿宋_GB2312" w:hAnsi="宋体" w:eastAsia="仿宋_GB2312" w:cs="仿宋_GB2312"/>
                <w:b/>
                <w:bCs/>
              </w:rPr>
              <w:t>二级指标</w:t>
            </w:r>
          </w:p>
        </w:tc>
        <w:tc>
          <w:tcPr>
            <w:tcW w:w="11775" w:type="dxa"/>
            <w:noWrap w:val="0"/>
            <w:vAlign w:val="center"/>
          </w:tcPr>
          <w:p>
            <w:pPr>
              <w:spacing w:line="260" w:lineRule="exact"/>
              <w:jc w:val="center"/>
              <w:rPr>
                <w:rFonts w:ascii="仿宋_GB2312" w:eastAsia="仿宋_GB2312"/>
                <w:b/>
                <w:bCs/>
              </w:rPr>
            </w:pPr>
            <w:r>
              <w:rPr>
                <w:rFonts w:hint="eastAsia" w:ascii="仿宋_GB2312" w:hAnsi="宋体" w:eastAsia="仿宋_GB2312" w:cs="仿宋_GB2312"/>
                <w:b/>
                <w:bCs/>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724" w:type="dxa"/>
            <w:vMerge w:val="restart"/>
            <w:noWrap w:val="0"/>
            <w:vAlign w:val="center"/>
          </w:tcPr>
          <w:p>
            <w:pPr>
              <w:spacing w:line="260" w:lineRule="exact"/>
              <w:jc w:val="center"/>
              <w:rPr>
                <w:rFonts w:ascii="仿宋_GB2312" w:hAnsi="宋体" w:eastAsia="仿宋_GB2312"/>
                <w:b/>
                <w:bCs/>
              </w:rPr>
            </w:pPr>
            <w:r>
              <w:rPr>
                <w:rFonts w:hint="eastAsia" w:ascii="仿宋_GB2312" w:hAnsi="宋体" w:eastAsia="仿宋_GB2312" w:cs="仿宋_GB2312"/>
                <w:b/>
                <w:bCs/>
              </w:rPr>
              <w:t>劳动关系基础框架指标</w:t>
            </w:r>
          </w:p>
        </w:tc>
        <w:tc>
          <w:tcPr>
            <w:tcW w:w="2388" w:type="dxa"/>
            <w:noWrap w:val="0"/>
            <w:vAlign w:val="center"/>
          </w:tcPr>
          <w:p>
            <w:pPr>
              <w:spacing w:line="260" w:lineRule="exact"/>
              <w:rPr>
                <w:rFonts w:ascii="仿宋_GB2312" w:hAnsi="宋体" w:eastAsia="仿宋_GB2312"/>
              </w:rPr>
            </w:pPr>
            <w:r>
              <w:rPr>
                <w:rFonts w:hint="eastAsia" w:ascii="仿宋_GB2312" w:hAnsi="宋体" w:eastAsia="仿宋_GB2312" w:cs="仿宋_GB2312"/>
              </w:rPr>
              <w:t>（一）党建引领</w:t>
            </w:r>
          </w:p>
        </w:tc>
        <w:tc>
          <w:tcPr>
            <w:tcW w:w="11775" w:type="dxa"/>
            <w:noWrap w:val="0"/>
            <w:vAlign w:val="center"/>
          </w:tcPr>
          <w:p>
            <w:pPr>
              <w:spacing w:line="260" w:lineRule="exact"/>
              <w:ind w:firstLine="210" w:firstLineChars="100"/>
              <w:rPr>
                <w:rFonts w:ascii="仿宋_GB2312" w:hAnsi="宋体" w:eastAsia="仿宋_GB2312"/>
              </w:rPr>
            </w:pPr>
            <w:r>
              <w:rPr>
                <w:rFonts w:hint="eastAsia" w:ascii="仿宋_GB2312" w:hAnsi="宋体" w:eastAsia="仿宋_GB2312" w:cs="仿宋_GB2312"/>
              </w:rPr>
              <w:t>充分发挥党组织的战斗堡垒和政治核心作用，各社会力量应加强党建工作，符合建立党支部条件的，应建立党支部。规模小、党员少的社会力量可本着就近就便原则，联合建立党支部。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Merge w:val="continue"/>
            <w:noWrap w:val="0"/>
            <w:vAlign w:val="center"/>
          </w:tcPr>
          <w:p>
            <w:pPr>
              <w:spacing w:line="260" w:lineRule="exact"/>
              <w:jc w:val="center"/>
              <w:rPr>
                <w:rFonts w:ascii="仿宋_GB2312" w:eastAsia="仿宋_GB2312"/>
                <w:b/>
                <w:bCs/>
              </w:rPr>
            </w:pPr>
          </w:p>
        </w:tc>
        <w:tc>
          <w:tcPr>
            <w:tcW w:w="2388" w:type="dxa"/>
            <w:noWrap w:val="0"/>
            <w:vAlign w:val="center"/>
          </w:tcPr>
          <w:p>
            <w:pPr>
              <w:spacing w:line="260" w:lineRule="exact"/>
              <w:rPr>
                <w:rFonts w:ascii="仿宋_GB2312" w:eastAsia="仿宋_GB2312"/>
              </w:rPr>
            </w:pPr>
            <w:r>
              <w:rPr>
                <w:rFonts w:hint="eastAsia" w:ascii="仿宋_GB2312" w:hAnsi="宋体" w:eastAsia="仿宋_GB2312" w:cs="仿宋_GB2312"/>
              </w:rPr>
              <w:t>（二）劳动用工管理</w:t>
            </w:r>
          </w:p>
        </w:tc>
        <w:tc>
          <w:tcPr>
            <w:tcW w:w="11775" w:type="dxa"/>
            <w:noWrap w:val="0"/>
            <w:vAlign w:val="center"/>
          </w:tcPr>
          <w:p>
            <w:pPr>
              <w:spacing w:line="260" w:lineRule="exact"/>
              <w:jc w:val="left"/>
              <w:rPr>
                <w:rFonts w:ascii="仿宋_GB2312" w:eastAsia="仿宋_GB2312"/>
              </w:rPr>
            </w:pPr>
            <w:r>
              <w:rPr>
                <w:rFonts w:ascii="仿宋_GB2312" w:hAnsi="宋体" w:eastAsia="仿宋_GB2312" w:cs="仿宋_GB2312"/>
              </w:rPr>
              <w:t>1.</w:t>
            </w:r>
            <w:r>
              <w:rPr>
                <w:rFonts w:hint="eastAsia" w:ascii="仿宋_GB2312" w:hAnsi="宋体" w:eastAsia="仿宋_GB2312" w:cs="仿宋_GB2312"/>
              </w:rPr>
              <w:t>签订书面劳动合同，规范办理劳动合同备案。</w:t>
            </w:r>
            <w:r>
              <w:rPr>
                <w:rFonts w:ascii="仿宋_GB2312" w:hAnsi="宋体" w:eastAsia="仿宋_GB2312" w:cs="仿宋_GB2312"/>
              </w:rPr>
              <w:t xml:space="preserve">  </w:t>
            </w:r>
          </w:p>
          <w:p>
            <w:pPr>
              <w:spacing w:line="260" w:lineRule="exact"/>
              <w:jc w:val="left"/>
              <w:rPr>
                <w:rFonts w:ascii="仿宋_GB2312" w:eastAsia="仿宋_GB2312"/>
              </w:rPr>
            </w:pPr>
            <w:r>
              <w:rPr>
                <w:rFonts w:ascii="仿宋_GB2312" w:hAnsi="宋体" w:eastAsia="仿宋_GB2312" w:cs="仿宋_GB2312"/>
                <w:kern w:val="0"/>
              </w:rPr>
              <w:t>2.</w:t>
            </w:r>
            <w:r>
              <w:rPr>
                <w:rFonts w:hint="eastAsia" w:ascii="仿宋_GB2312" w:hAnsi="宋体" w:eastAsia="仿宋_GB2312" w:cs="仿宋_GB2312"/>
                <w:kern w:val="0"/>
              </w:rPr>
              <w:t>规范</w:t>
            </w:r>
            <w:r>
              <w:rPr>
                <w:rFonts w:hint="eastAsia" w:ascii="仿宋_GB2312" w:hAnsi="宋体" w:eastAsia="仿宋_GB2312" w:cs="仿宋_GB2312"/>
              </w:rPr>
              <w:t>办理职工就失业登记。</w:t>
            </w:r>
            <w:r>
              <w:rPr>
                <w:rFonts w:ascii="仿宋_GB2312" w:hAnsi="宋体" w:eastAsia="仿宋_GB2312" w:cs="仿宋_GB2312"/>
              </w:rPr>
              <w:t xml:space="preserve"> </w:t>
            </w:r>
          </w:p>
          <w:p>
            <w:pPr>
              <w:spacing w:line="260" w:lineRule="exact"/>
              <w:jc w:val="left"/>
              <w:rPr>
                <w:rFonts w:ascii="仿宋_GB2312" w:eastAsia="仿宋_GB2312"/>
              </w:rPr>
            </w:pPr>
            <w:r>
              <w:rPr>
                <w:rFonts w:ascii="仿宋_GB2312" w:hAnsi="宋体" w:eastAsia="仿宋_GB2312" w:cs="仿宋_GB2312"/>
              </w:rPr>
              <w:t>3.</w:t>
            </w:r>
            <w:r>
              <w:rPr>
                <w:rFonts w:hint="eastAsia" w:ascii="仿宋_GB2312" w:hAnsi="宋体" w:eastAsia="仿宋_GB2312" w:cs="仿宋_GB2312"/>
              </w:rPr>
              <w:t>规范办理职工退工退档。</w:t>
            </w:r>
            <w:r>
              <w:rPr>
                <w:rFonts w:ascii="仿宋_GB2312" w:hAnsi="宋体" w:eastAsia="仿宋_GB2312" w:cs="仿宋_GB2312"/>
              </w:rPr>
              <w:t xml:space="preserve"> </w:t>
            </w:r>
          </w:p>
          <w:p>
            <w:pPr>
              <w:spacing w:line="260" w:lineRule="exact"/>
              <w:jc w:val="left"/>
              <w:rPr>
                <w:rFonts w:ascii="仿宋_GB2312" w:eastAsia="仿宋_GB2312"/>
              </w:rPr>
            </w:pPr>
            <w:r>
              <w:rPr>
                <w:rFonts w:ascii="仿宋_GB2312" w:hAnsi="宋体" w:eastAsia="仿宋_GB2312" w:cs="仿宋_GB2312"/>
              </w:rPr>
              <w:t>4.</w:t>
            </w:r>
            <w:r>
              <w:rPr>
                <w:rFonts w:hint="eastAsia" w:ascii="仿宋_GB2312" w:hAnsi="宋体" w:eastAsia="仿宋_GB2312" w:cs="仿宋_GB2312"/>
                <w:kern w:val="0"/>
              </w:rPr>
              <w:t>劳动保障书面审查合格。</w:t>
            </w:r>
            <w:r>
              <w:rPr>
                <w:rFonts w:ascii="仿宋_GB2312" w:hAnsi="宋体" w:eastAsia="仿宋_GB2312" w:cs="仿宋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Merge w:val="continue"/>
            <w:noWrap w:val="0"/>
            <w:vAlign w:val="center"/>
          </w:tcPr>
          <w:p>
            <w:pPr>
              <w:widowControl/>
              <w:spacing w:line="260" w:lineRule="exact"/>
              <w:jc w:val="left"/>
              <w:rPr>
                <w:rFonts w:ascii="仿宋_GB2312" w:eastAsia="仿宋_GB2312"/>
                <w:b/>
                <w:bCs/>
              </w:rPr>
            </w:pPr>
          </w:p>
        </w:tc>
        <w:tc>
          <w:tcPr>
            <w:tcW w:w="2388" w:type="dxa"/>
            <w:noWrap w:val="0"/>
            <w:vAlign w:val="center"/>
          </w:tcPr>
          <w:p>
            <w:pPr>
              <w:spacing w:line="260" w:lineRule="exact"/>
              <w:rPr>
                <w:rFonts w:ascii="仿宋_GB2312" w:eastAsia="仿宋_GB2312"/>
              </w:rPr>
            </w:pPr>
            <w:r>
              <w:rPr>
                <w:rFonts w:hint="eastAsia" w:ascii="仿宋_GB2312" w:hAnsi="宋体" w:eastAsia="仿宋_GB2312" w:cs="仿宋_GB2312"/>
              </w:rPr>
              <w:t>（三）劳动安全卫生</w:t>
            </w:r>
          </w:p>
        </w:tc>
        <w:tc>
          <w:tcPr>
            <w:tcW w:w="11775" w:type="dxa"/>
            <w:noWrap w:val="0"/>
            <w:vAlign w:val="center"/>
          </w:tcPr>
          <w:p>
            <w:pPr>
              <w:spacing w:line="260" w:lineRule="exact"/>
              <w:jc w:val="left"/>
              <w:rPr>
                <w:rFonts w:ascii="仿宋_GB2312" w:eastAsia="仿宋_GB2312"/>
              </w:rPr>
            </w:pPr>
            <w:r>
              <w:rPr>
                <w:rFonts w:ascii="仿宋_GB2312" w:hAnsi="宋体" w:eastAsia="仿宋_GB2312" w:cs="仿宋_GB2312"/>
              </w:rPr>
              <w:t>1.</w:t>
            </w:r>
            <w:r>
              <w:rPr>
                <w:rFonts w:hint="eastAsia" w:ascii="仿宋_GB2312" w:hAnsi="宋体" w:eastAsia="仿宋_GB2312" w:cs="仿宋_GB2312"/>
              </w:rPr>
              <w:t>职业病防护措施到位，未</w:t>
            </w:r>
            <w:r>
              <w:rPr>
                <w:rFonts w:hint="eastAsia" w:ascii="仿宋_GB2312" w:hAnsi="宋体" w:eastAsia="仿宋_GB2312" w:cs="仿宋_GB2312"/>
                <w:kern w:val="0"/>
              </w:rPr>
              <w:t>发生职业病危害事故。</w:t>
            </w:r>
            <w:r>
              <w:rPr>
                <w:rFonts w:ascii="仿宋_GB2312" w:hAnsi="宋体" w:eastAsia="仿宋_GB2312" w:cs="仿宋_GB2312"/>
              </w:rPr>
              <w:t xml:space="preserve"> </w:t>
            </w:r>
          </w:p>
          <w:p>
            <w:pPr>
              <w:spacing w:line="260" w:lineRule="exact"/>
              <w:jc w:val="left"/>
              <w:rPr>
                <w:rFonts w:ascii="仿宋_GB2312" w:eastAsia="仿宋_GB2312"/>
                <w:kern w:val="0"/>
              </w:rPr>
            </w:pPr>
            <w:r>
              <w:rPr>
                <w:rFonts w:ascii="仿宋_GB2312" w:hAnsi="宋体" w:eastAsia="仿宋_GB2312" w:cs="仿宋_GB2312"/>
              </w:rPr>
              <w:t>2.</w:t>
            </w:r>
            <w:r>
              <w:rPr>
                <w:rFonts w:hint="eastAsia" w:ascii="仿宋_GB2312" w:hAnsi="宋体" w:eastAsia="仿宋_GB2312" w:cs="仿宋_GB2312"/>
              </w:rPr>
              <w:t>符合国家规定的劳动安全条件和必要的劳动保护用品，未发生</w:t>
            </w:r>
            <w:r>
              <w:rPr>
                <w:rFonts w:hint="eastAsia" w:ascii="仿宋_GB2312" w:hAnsi="宋体" w:eastAsia="仿宋_GB2312" w:cs="仿宋_GB2312"/>
                <w:kern w:val="0"/>
              </w:rPr>
              <w:t>生产安全责任事故（第三方侵害导致的除外）。</w:t>
            </w:r>
            <w:r>
              <w:rPr>
                <w:rFonts w:ascii="仿宋_GB2312" w:hAnsi="宋体" w:eastAsia="仿宋_GB2312" w:cs="仿宋_GB2312"/>
              </w:rPr>
              <w:t xml:space="preserve"> </w:t>
            </w:r>
          </w:p>
          <w:p>
            <w:pPr>
              <w:spacing w:line="260" w:lineRule="exact"/>
              <w:jc w:val="left"/>
              <w:rPr>
                <w:rFonts w:ascii="仿宋_GB2312" w:eastAsia="仿宋_GB2312"/>
              </w:rPr>
            </w:pPr>
            <w:r>
              <w:rPr>
                <w:rFonts w:ascii="仿宋_GB2312" w:hAnsi="宋体" w:eastAsia="仿宋_GB2312" w:cs="仿宋_GB2312"/>
                <w:kern w:val="0"/>
              </w:rPr>
              <w:t>3.</w:t>
            </w:r>
            <w:r>
              <w:rPr>
                <w:rFonts w:hint="eastAsia" w:ascii="仿宋_GB2312" w:hAnsi="宋体" w:eastAsia="仿宋_GB2312" w:cs="仿宋_GB2312"/>
                <w:kern w:val="0"/>
              </w:rPr>
              <w:t>未发生卫生防疫事件。</w:t>
            </w:r>
            <w:r>
              <w:rPr>
                <w:rFonts w:ascii="仿宋_GB2312" w:hAnsi="宋体" w:eastAsia="仿宋_GB2312" w:cs="仿宋_GB2312"/>
              </w:rPr>
              <w:t xml:space="preserve"> </w:t>
            </w:r>
          </w:p>
          <w:p>
            <w:pPr>
              <w:spacing w:line="260" w:lineRule="exact"/>
              <w:jc w:val="left"/>
              <w:rPr>
                <w:rFonts w:ascii="仿宋_GB2312" w:eastAsia="仿宋_GB2312"/>
              </w:rPr>
            </w:pPr>
            <w:r>
              <w:rPr>
                <w:rFonts w:ascii="仿宋_GB2312" w:hAnsi="宋体" w:eastAsia="仿宋_GB2312" w:cs="仿宋_GB2312"/>
              </w:rPr>
              <w:t>4.</w:t>
            </w:r>
            <w:r>
              <w:rPr>
                <w:rFonts w:hint="eastAsia" w:ascii="仿宋_GB2312" w:hAnsi="宋体" w:eastAsia="仿宋_GB2312" w:cs="仿宋_GB2312"/>
              </w:rPr>
              <w:t>为因工作遭受事故伤害或患职业病的员工按规定办理工伤备案、认定和劳动能力等级鉴定，并支付工伤待遇。</w:t>
            </w:r>
            <w:r>
              <w:rPr>
                <w:rFonts w:ascii="仿宋_GB2312" w:hAnsi="宋体" w:eastAsia="仿宋_GB2312" w:cs="仿宋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atLeast"/>
          <w:jc w:val="center"/>
        </w:trPr>
        <w:tc>
          <w:tcPr>
            <w:tcW w:w="724" w:type="dxa"/>
            <w:vMerge w:val="continue"/>
            <w:noWrap w:val="0"/>
            <w:vAlign w:val="center"/>
          </w:tcPr>
          <w:p>
            <w:pPr>
              <w:widowControl/>
              <w:spacing w:line="260" w:lineRule="exact"/>
              <w:jc w:val="left"/>
              <w:rPr>
                <w:rFonts w:ascii="仿宋_GB2312" w:eastAsia="仿宋_GB2312"/>
                <w:b/>
                <w:bCs/>
              </w:rPr>
            </w:pPr>
          </w:p>
        </w:tc>
        <w:tc>
          <w:tcPr>
            <w:tcW w:w="2388" w:type="dxa"/>
            <w:noWrap w:val="0"/>
            <w:vAlign w:val="center"/>
          </w:tcPr>
          <w:p>
            <w:pPr>
              <w:spacing w:line="260" w:lineRule="exact"/>
              <w:rPr>
                <w:rFonts w:ascii="仿宋_GB2312" w:eastAsia="仿宋_GB2312"/>
              </w:rPr>
            </w:pPr>
            <w:r>
              <w:rPr>
                <w:rFonts w:hint="eastAsia" w:ascii="仿宋_GB2312" w:hAnsi="宋体" w:eastAsia="仿宋_GB2312" w:cs="仿宋_GB2312"/>
              </w:rPr>
              <w:t>（四）薪酬保险福利</w:t>
            </w:r>
          </w:p>
        </w:tc>
        <w:tc>
          <w:tcPr>
            <w:tcW w:w="11775" w:type="dxa"/>
            <w:noWrap w:val="0"/>
            <w:vAlign w:val="center"/>
          </w:tcPr>
          <w:p>
            <w:pPr>
              <w:spacing w:line="260" w:lineRule="exact"/>
              <w:jc w:val="left"/>
              <w:rPr>
                <w:rFonts w:ascii="仿宋_GB2312" w:eastAsia="仿宋_GB2312"/>
              </w:rPr>
            </w:pPr>
            <w:r>
              <w:rPr>
                <w:rFonts w:ascii="仿宋_GB2312" w:hAnsi="宋体" w:eastAsia="仿宋_GB2312" w:cs="仿宋_GB2312"/>
              </w:rPr>
              <w:t>1.</w:t>
            </w:r>
            <w:r>
              <w:rPr>
                <w:rFonts w:hint="eastAsia" w:ascii="仿宋_GB2312" w:hAnsi="宋体" w:eastAsia="仿宋_GB2312" w:cs="仿宋_GB2312"/>
              </w:rPr>
              <w:t>遵循按劳分配的原则及时足额支付工资。</w:t>
            </w:r>
            <w:r>
              <w:rPr>
                <w:rFonts w:ascii="仿宋_GB2312" w:hAnsi="宋体" w:eastAsia="仿宋_GB2312" w:cs="仿宋_GB2312"/>
              </w:rPr>
              <w:t xml:space="preserve"> </w:t>
            </w:r>
          </w:p>
          <w:p>
            <w:pPr>
              <w:spacing w:line="260" w:lineRule="exact"/>
              <w:jc w:val="left"/>
              <w:rPr>
                <w:rFonts w:ascii="仿宋_GB2312" w:eastAsia="仿宋_GB2312"/>
              </w:rPr>
            </w:pPr>
            <w:r>
              <w:rPr>
                <w:rFonts w:ascii="仿宋_GB2312" w:hAnsi="宋体" w:eastAsia="仿宋_GB2312" w:cs="仿宋_GB2312"/>
              </w:rPr>
              <w:t>2.</w:t>
            </w:r>
            <w:r>
              <w:rPr>
                <w:rFonts w:hint="eastAsia" w:ascii="仿宋_GB2312" w:hAnsi="宋体" w:eastAsia="仿宋_GB2312" w:cs="仿宋_GB2312"/>
              </w:rPr>
              <w:t>按国家规定支付加班加点工资。</w:t>
            </w:r>
            <w:r>
              <w:rPr>
                <w:rFonts w:ascii="仿宋_GB2312" w:hAnsi="宋体" w:eastAsia="仿宋_GB2312" w:cs="仿宋_GB2312"/>
              </w:rPr>
              <w:t xml:space="preserve"> </w:t>
            </w:r>
          </w:p>
          <w:p>
            <w:pPr>
              <w:spacing w:line="260" w:lineRule="exact"/>
              <w:jc w:val="left"/>
              <w:rPr>
                <w:rFonts w:ascii="仿宋_GB2312" w:eastAsia="仿宋_GB2312"/>
              </w:rPr>
            </w:pPr>
            <w:r>
              <w:rPr>
                <w:rFonts w:ascii="仿宋_GB2312" w:hAnsi="宋体" w:eastAsia="仿宋_GB2312" w:cs="仿宋_GB2312"/>
              </w:rPr>
              <w:t>3.</w:t>
            </w:r>
            <w:r>
              <w:rPr>
                <w:rFonts w:hint="eastAsia" w:ascii="仿宋_GB2312" w:hAnsi="宋体" w:eastAsia="仿宋_GB2312" w:cs="仿宋_GB2312"/>
              </w:rPr>
              <w:t>按天津市有关规定支付防暑降温费、高温津贴、冬季取暖补贴等福利待遇。</w:t>
            </w:r>
            <w:r>
              <w:rPr>
                <w:rFonts w:ascii="仿宋_GB2312" w:hAnsi="宋体" w:eastAsia="仿宋_GB2312" w:cs="仿宋_GB2312"/>
              </w:rPr>
              <w:t xml:space="preserve"> </w:t>
            </w:r>
          </w:p>
          <w:p>
            <w:pPr>
              <w:spacing w:line="260" w:lineRule="exact"/>
              <w:jc w:val="left"/>
              <w:rPr>
                <w:rFonts w:ascii="仿宋_GB2312" w:eastAsia="仿宋_GB2312"/>
              </w:rPr>
            </w:pPr>
            <w:r>
              <w:rPr>
                <w:rFonts w:ascii="仿宋_GB2312" w:hAnsi="宋体" w:eastAsia="仿宋_GB2312" w:cs="仿宋_GB2312"/>
              </w:rPr>
              <w:t>4.</w:t>
            </w:r>
            <w:r>
              <w:rPr>
                <w:rFonts w:hint="eastAsia" w:ascii="仿宋_GB2312" w:hAnsi="宋体" w:eastAsia="仿宋_GB2312" w:cs="仿宋_GB2312"/>
              </w:rPr>
              <w:t>按规定及时到社会保险经办机构办理社会保险登记的相关手续，依法及时足额缴纳社会保险费。</w:t>
            </w:r>
            <w:r>
              <w:rPr>
                <w:rFonts w:ascii="仿宋_GB2312" w:hAnsi="宋体" w:eastAsia="仿宋_GB2312" w:cs="仿宋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2" w:hRule="atLeast"/>
          <w:jc w:val="center"/>
        </w:trPr>
        <w:tc>
          <w:tcPr>
            <w:tcW w:w="724" w:type="dxa"/>
            <w:vMerge w:val="continue"/>
            <w:noWrap w:val="0"/>
            <w:vAlign w:val="center"/>
          </w:tcPr>
          <w:p>
            <w:pPr>
              <w:widowControl/>
              <w:spacing w:line="260" w:lineRule="exact"/>
              <w:jc w:val="left"/>
              <w:rPr>
                <w:rFonts w:ascii="仿宋_GB2312" w:eastAsia="仿宋_GB2312"/>
                <w:b/>
                <w:bCs/>
              </w:rPr>
            </w:pPr>
          </w:p>
        </w:tc>
        <w:tc>
          <w:tcPr>
            <w:tcW w:w="2388" w:type="dxa"/>
            <w:noWrap w:val="0"/>
            <w:vAlign w:val="center"/>
          </w:tcPr>
          <w:p>
            <w:pPr>
              <w:spacing w:line="260" w:lineRule="exact"/>
              <w:rPr>
                <w:rFonts w:ascii="仿宋_GB2312" w:eastAsia="仿宋_GB2312"/>
              </w:rPr>
            </w:pPr>
            <w:r>
              <w:rPr>
                <w:rFonts w:hint="eastAsia" w:ascii="仿宋_GB2312" w:hAnsi="宋体" w:eastAsia="仿宋_GB2312" w:cs="仿宋_GB2312"/>
              </w:rPr>
              <w:t>（五）职工培训</w:t>
            </w:r>
          </w:p>
        </w:tc>
        <w:tc>
          <w:tcPr>
            <w:tcW w:w="11775" w:type="dxa"/>
            <w:noWrap w:val="0"/>
            <w:vAlign w:val="center"/>
          </w:tcPr>
          <w:p>
            <w:pPr>
              <w:spacing w:line="260" w:lineRule="exact"/>
              <w:jc w:val="left"/>
              <w:rPr>
                <w:rFonts w:ascii="仿宋_GB2312" w:eastAsia="仿宋_GB2312"/>
              </w:rPr>
            </w:pPr>
            <w:r>
              <w:rPr>
                <w:rFonts w:ascii="仿宋_GB2312" w:hAnsi="宋体" w:eastAsia="仿宋_GB2312" w:cs="仿宋_GB2312"/>
              </w:rPr>
              <w:t>1.</w:t>
            </w:r>
            <w:r>
              <w:rPr>
                <w:rFonts w:hint="eastAsia" w:ascii="仿宋_GB2312" w:hAnsi="宋体" w:eastAsia="仿宋_GB2312" w:cs="仿宋_GB2312"/>
              </w:rPr>
              <w:t>按规定提取职工教育培训经费，用于职工职业培训。</w:t>
            </w:r>
            <w:r>
              <w:rPr>
                <w:rFonts w:ascii="仿宋_GB2312" w:hAnsi="宋体" w:eastAsia="仿宋_GB2312" w:cs="仿宋_GB2312"/>
              </w:rPr>
              <w:t xml:space="preserve"> </w:t>
            </w:r>
          </w:p>
          <w:p>
            <w:pPr>
              <w:spacing w:line="260" w:lineRule="exact"/>
              <w:jc w:val="left"/>
              <w:rPr>
                <w:rFonts w:ascii="仿宋_GB2312" w:eastAsia="仿宋_GB2312"/>
              </w:rPr>
            </w:pPr>
            <w:r>
              <w:rPr>
                <w:rFonts w:ascii="仿宋_GB2312" w:hAnsi="宋体" w:eastAsia="仿宋_GB2312" w:cs="仿宋_GB2312"/>
              </w:rPr>
              <w:t>2.</w:t>
            </w:r>
            <w:r>
              <w:rPr>
                <w:rFonts w:hint="eastAsia" w:ascii="仿宋_GB2312" w:hAnsi="宋体" w:eastAsia="仿宋_GB2312" w:cs="仿宋_GB2312"/>
              </w:rPr>
              <w:t>建立健全职工培训制度。</w:t>
            </w:r>
            <w:r>
              <w:rPr>
                <w:rFonts w:ascii="仿宋_GB2312" w:eastAsia="仿宋_GB2312" w:cs="仿宋_GB2312"/>
              </w:rPr>
              <w:t xml:space="preserve"> </w:t>
            </w:r>
            <w:r>
              <w:rPr>
                <w:rFonts w:ascii="仿宋_GB2312" w:hAnsi="宋体" w:eastAsia="仿宋_GB2312" w:cs="仿宋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2" w:hRule="atLeast"/>
          <w:jc w:val="center"/>
        </w:trPr>
        <w:tc>
          <w:tcPr>
            <w:tcW w:w="724" w:type="dxa"/>
            <w:vMerge w:val="continue"/>
            <w:noWrap w:val="0"/>
            <w:vAlign w:val="center"/>
          </w:tcPr>
          <w:p>
            <w:pPr>
              <w:widowControl/>
              <w:spacing w:line="260" w:lineRule="exact"/>
              <w:jc w:val="left"/>
              <w:rPr>
                <w:rFonts w:ascii="仿宋_GB2312" w:eastAsia="仿宋_GB2312"/>
                <w:b/>
                <w:bCs/>
              </w:rPr>
            </w:pPr>
          </w:p>
        </w:tc>
        <w:tc>
          <w:tcPr>
            <w:tcW w:w="2388" w:type="dxa"/>
            <w:noWrap w:val="0"/>
            <w:vAlign w:val="center"/>
          </w:tcPr>
          <w:p>
            <w:pPr>
              <w:spacing w:line="260" w:lineRule="exact"/>
              <w:rPr>
                <w:rFonts w:ascii="仿宋_GB2312" w:eastAsia="仿宋_GB2312"/>
              </w:rPr>
            </w:pPr>
            <w:r>
              <w:rPr>
                <w:rFonts w:hint="eastAsia" w:ascii="仿宋_GB2312" w:hAnsi="宋体" w:eastAsia="仿宋_GB2312" w:cs="仿宋_GB2312"/>
              </w:rPr>
              <w:t>（六）工会建设</w:t>
            </w:r>
          </w:p>
        </w:tc>
        <w:tc>
          <w:tcPr>
            <w:tcW w:w="11775" w:type="dxa"/>
            <w:noWrap w:val="0"/>
            <w:vAlign w:val="center"/>
          </w:tcPr>
          <w:p>
            <w:pPr>
              <w:spacing w:line="260" w:lineRule="exact"/>
              <w:jc w:val="left"/>
              <w:rPr>
                <w:rFonts w:ascii="仿宋_GB2312" w:eastAsia="仿宋_GB2312"/>
              </w:rPr>
            </w:pPr>
            <w:r>
              <w:rPr>
                <w:rFonts w:ascii="仿宋_GB2312" w:hAnsi="宋体" w:eastAsia="仿宋_GB2312" w:cs="仿宋_GB2312"/>
              </w:rPr>
              <w:t>1.</w:t>
            </w:r>
            <w:r>
              <w:rPr>
                <w:rFonts w:hint="eastAsia" w:ascii="仿宋_GB2312" w:hAnsi="宋体" w:eastAsia="仿宋_GB2312" w:cs="仿宋_GB2312"/>
              </w:rPr>
              <w:t>工会组织健全，且遵守《工会法》的规定，依法足额缴纳工会经费。</w:t>
            </w:r>
            <w:r>
              <w:rPr>
                <w:rFonts w:ascii="仿宋_GB2312" w:hAnsi="宋体" w:eastAsia="仿宋_GB2312" w:cs="仿宋_GB2312"/>
              </w:rPr>
              <w:t xml:space="preserve"> </w:t>
            </w:r>
          </w:p>
          <w:p>
            <w:pPr>
              <w:spacing w:line="260" w:lineRule="exact"/>
              <w:jc w:val="left"/>
              <w:rPr>
                <w:rFonts w:ascii="仿宋_GB2312" w:eastAsia="仿宋_GB2312"/>
              </w:rPr>
            </w:pPr>
            <w:r>
              <w:rPr>
                <w:rFonts w:ascii="仿宋_GB2312" w:hAnsi="宋体" w:eastAsia="仿宋_GB2312" w:cs="仿宋_GB2312"/>
              </w:rPr>
              <w:t>2.</w:t>
            </w:r>
            <w:r>
              <w:rPr>
                <w:rFonts w:hint="eastAsia" w:ascii="仿宋_GB2312" w:hAnsi="宋体" w:eastAsia="仿宋_GB2312" w:cs="仿宋_GB2312"/>
              </w:rPr>
              <w:t>遵守《工会法》规定，支持工会开展工作，保证工会依法履行维护职工权益的基本职责。</w:t>
            </w:r>
            <w:r>
              <w:rPr>
                <w:rFonts w:ascii="仿宋_GB2312" w:hAnsi="宋体" w:eastAsia="仿宋_GB2312" w:cs="仿宋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jc w:val="center"/>
        </w:trPr>
        <w:tc>
          <w:tcPr>
            <w:tcW w:w="724" w:type="dxa"/>
            <w:vMerge w:val="continue"/>
            <w:noWrap w:val="0"/>
            <w:vAlign w:val="center"/>
          </w:tcPr>
          <w:p>
            <w:pPr>
              <w:widowControl/>
              <w:spacing w:line="260" w:lineRule="exact"/>
              <w:jc w:val="left"/>
              <w:rPr>
                <w:rFonts w:ascii="仿宋_GB2312" w:eastAsia="仿宋_GB2312"/>
                <w:b/>
                <w:bCs/>
              </w:rPr>
            </w:pPr>
          </w:p>
        </w:tc>
        <w:tc>
          <w:tcPr>
            <w:tcW w:w="2388" w:type="dxa"/>
            <w:noWrap w:val="0"/>
            <w:vAlign w:val="center"/>
          </w:tcPr>
          <w:p>
            <w:pPr>
              <w:spacing w:line="260" w:lineRule="exact"/>
              <w:rPr>
                <w:rFonts w:ascii="仿宋_GB2312" w:eastAsia="仿宋_GB2312"/>
              </w:rPr>
            </w:pPr>
            <w:r>
              <w:rPr>
                <w:rFonts w:hint="eastAsia" w:ascii="仿宋_GB2312" w:hAnsi="宋体" w:eastAsia="仿宋_GB2312" w:cs="仿宋_GB2312"/>
              </w:rPr>
              <w:t>（七）民主管理</w:t>
            </w:r>
          </w:p>
        </w:tc>
        <w:tc>
          <w:tcPr>
            <w:tcW w:w="11775" w:type="dxa"/>
            <w:noWrap w:val="0"/>
            <w:vAlign w:val="center"/>
          </w:tcPr>
          <w:p>
            <w:pPr>
              <w:spacing w:line="260" w:lineRule="exact"/>
              <w:jc w:val="left"/>
              <w:rPr>
                <w:rFonts w:ascii="仿宋_GB2312" w:eastAsia="仿宋_GB2312"/>
              </w:rPr>
            </w:pPr>
            <w:r>
              <w:rPr>
                <w:rFonts w:ascii="仿宋_GB2312" w:hAnsi="宋体" w:eastAsia="仿宋_GB2312" w:cs="仿宋_GB2312"/>
              </w:rPr>
              <w:t>1.</w:t>
            </w:r>
            <w:r>
              <w:rPr>
                <w:rFonts w:hint="eastAsia" w:ascii="仿宋_GB2312" w:hAnsi="宋体" w:eastAsia="仿宋_GB2312" w:cs="仿宋_GB2312"/>
              </w:rPr>
              <w:t>依法建立职工代表大会制度，实行厂务公开制度或建立与企业相适应的其他民主管理制度。</w:t>
            </w:r>
            <w:r>
              <w:rPr>
                <w:rFonts w:ascii="仿宋_GB2312" w:hAnsi="宋体" w:eastAsia="仿宋_GB2312" w:cs="仿宋_GB2312"/>
              </w:rPr>
              <w:t xml:space="preserve"> </w:t>
            </w:r>
          </w:p>
          <w:p>
            <w:pPr>
              <w:spacing w:line="260" w:lineRule="exact"/>
              <w:ind w:left="210" w:hanging="210" w:hangingChars="100"/>
              <w:jc w:val="left"/>
              <w:rPr>
                <w:rFonts w:ascii="仿宋_GB2312" w:eastAsia="仿宋_GB2312"/>
              </w:rPr>
            </w:pPr>
            <w:r>
              <w:rPr>
                <w:rFonts w:ascii="仿宋_GB2312" w:hAnsi="宋体" w:eastAsia="仿宋_GB2312" w:cs="仿宋_GB2312"/>
              </w:rPr>
              <w:t>2.</w:t>
            </w:r>
            <w:r>
              <w:rPr>
                <w:rFonts w:hint="eastAsia" w:ascii="仿宋_GB2312" w:hAnsi="宋体" w:eastAsia="仿宋_GB2312" w:cs="仿宋_GB2312"/>
              </w:rPr>
              <w:t>企业以职代会为基本形式的民主管理机制健全，员工对涉及切身利益的事项享有充分的知情权，其表达、参与、协商和监督的权利得到充分保障。</w:t>
            </w:r>
            <w:r>
              <w:rPr>
                <w:rFonts w:ascii="仿宋_GB2312" w:hAnsi="宋体" w:eastAsia="仿宋_GB2312" w:cs="仿宋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Merge w:val="continue"/>
            <w:noWrap w:val="0"/>
            <w:vAlign w:val="center"/>
          </w:tcPr>
          <w:p>
            <w:pPr>
              <w:widowControl/>
              <w:spacing w:line="260" w:lineRule="exact"/>
              <w:jc w:val="left"/>
              <w:rPr>
                <w:rFonts w:ascii="仿宋_GB2312" w:eastAsia="仿宋_GB2312"/>
                <w:b/>
                <w:bCs/>
              </w:rPr>
            </w:pPr>
          </w:p>
        </w:tc>
        <w:tc>
          <w:tcPr>
            <w:tcW w:w="2388" w:type="dxa"/>
            <w:noWrap w:val="0"/>
            <w:vAlign w:val="center"/>
          </w:tcPr>
          <w:p>
            <w:pPr>
              <w:spacing w:line="260" w:lineRule="exact"/>
              <w:rPr>
                <w:rFonts w:ascii="仿宋_GB2312" w:eastAsia="仿宋_GB2312"/>
              </w:rPr>
            </w:pPr>
            <w:r>
              <w:rPr>
                <w:rFonts w:hint="eastAsia" w:ascii="仿宋_GB2312" w:hAnsi="宋体" w:eastAsia="仿宋_GB2312" w:cs="仿宋_GB2312"/>
              </w:rPr>
              <w:t>（八）集体协商</w:t>
            </w:r>
          </w:p>
        </w:tc>
        <w:tc>
          <w:tcPr>
            <w:tcW w:w="11775" w:type="dxa"/>
            <w:noWrap w:val="0"/>
            <w:vAlign w:val="center"/>
          </w:tcPr>
          <w:p>
            <w:pPr>
              <w:spacing w:line="260" w:lineRule="exact"/>
              <w:ind w:left="210" w:hanging="210" w:hangingChars="100"/>
              <w:jc w:val="left"/>
              <w:rPr>
                <w:rFonts w:ascii="仿宋_GB2312" w:eastAsia="仿宋_GB2312"/>
              </w:rPr>
            </w:pPr>
            <w:r>
              <w:rPr>
                <w:rFonts w:ascii="仿宋_GB2312" w:hAnsi="宋体" w:eastAsia="仿宋_GB2312" w:cs="仿宋_GB2312"/>
              </w:rPr>
              <w:t>1.</w:t>
            </w:r>
            <w:r>
              <w:rPr>
                <w:rFonts w:hint="eastAsia" w:ascii="仿宋_GB2312" w:hAnsi="宋体" w:eastAsia="仿宋_GB2312" w:cs="仿宋_GB2312"/>
              </w:rPr>
              <w:t>与员工在充分协商的基础上，就劳动报酬、工作时间、休息制度、劳动安全卫生、女职工权益保护、保险福利等事项签订内容具体、标准量化、操作性强的集体合同或专项集体合同，按规定及时报行政审批部门审查备案并能全面履行。</w:t>
            </w:r>
            <w:r>
              <w:rPr>
                <w:rFonts w:ascii="仿宋_GB2312" w:hAnsi="宋体" w:eastAsia="仿宋_GB2312" w:cs="仿宋_GB2312"/>
              </w:rPr>
              <w:t xml:space="preserve"> </w:t>
            </w:r>
          </w:p>
          <w:p>
            <w:pPr>
              <w:spacing w:line="260" w:lineRule="exact"/>
              <w:ind w:left="210" w:hanging="210" w:hangingChars="100"/>
              <w:jc w:val="left"/>
              <w:rPr>
                <w:rFonts w:ascii="仿宋_GB2312" w:eastAsia="仿宋_GB2312"/>
              </w:rPr>
            </w:pPr>
            <w:r>
              <w:rPr>
                <w:rFonts w:ascii="仿宋_GB2312" w:hAnsi="宋体" w:eastAsia="仿宋_GB2312" w:cs="仿宋_GB2312"/>
              </w:rPr>
              <w:t>2.</w:t>
            </w:r>
            <w:r>
              <w:rPr>
                <w:rFonts w:hint="eastAsia" w:ascii="仿宋_GB2312" w:hAnsi="宋体" w:eastAsia="仿宋_GB2312" w:cs="仿宋_GB2312"/>
              </w:rPr>
              <w:t>建立了集体协商机制，对涉及劳动者切身利益的重大问题能够在平等自愿的原则下进行协商，且签订了工资集体协议，并按规定及时报劳动行政部门审查备案。</w:t>
            </w:r>
            <w:r>
              <w:rPr>
                <w:rFonts w:ascii="仿宋_GB2312" w:hAnsi="宋体" w:eastAsia="仿宋_GB2312" w:cs="仿宋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4" w:type="dxa"/>
            <w:vMerge w:val="continue"/>
            <w:noWrap w:val="0"/>
            <w:vAlign w:val="center"/>
          </w:tcPr>
          <w:p>
            <w:pPr>
              <w:widowControl/>
              <w:spacing w:line="260" w:lineRule="exact"/>
              <w:jc w:val="left"/>
              <w:rPr>
                <w:rFonts w:ascii="仿宋_GB2312" w:eastAsia="仿宋_GB2312"/>
                <w:b/>
                <w:bCs/>
              </w:rPr>
            </w:pPr>
          </w:p>
        </w:tc>
        <w:tc>
          <w:tcPr>
            <w:tcW w:w="2388" w:type="dxa"/>
            <w:noWrap w:val="0"/>
            <w:vAlign w:val="center"/>
          </w:tcPr>
          <w:p>
            <w:pPr>
              <w:spacing w:line="260" w:lineRule="exact"/>
              <w:rPr>
                <w:rFonts w:ascii="仿宋_GB2312" w:eastAsia="仿宋_GB2312"/>
              </w:rPr>
            </w:pPr>
            <w:r>
              <w:rPr>
                <w:rFonts w:hint="eastAsia" w:ascii="仿宋_GB2312" w:hAnsi="宋体" w:eastAsia="仿宋_GB2312" w:cs="仿宋_GB2312"/>
              </w:rPr>
              <w:t>（九）预防和应急处置</w:t>
            </w:r>
          </w:p>
        </w:tc>
        <w:tc>
          <w:tcPr>
            <w:tcW w:w="11775" w:type="dxa"/>
            <w:noWrap w:val="0"/>
            <w:vAlign w:val="center"/>
          </w:tcPr>
          <w:p>
            <w:pPr>
              <w:spacing w:line="260" w:lineRule="exact"/>
              <w:jc w:val="left"/>
              <w:rPr>
                <w:rFonts w:ascii="仿宋_GB2312" w:eastAsia="仿宋_GB2312"/>
              </w:rPr>
            </w:pPr>
            <w:r>
              <w:rPr>
                <w:rFonts w:ascii="仿宋_GB2312" w:hAnsi="宋体" w:eastAsia="仿宋_GB2312" w:cs="仿宋_GB2312"/>
              </w:rPr>
              <w:t>1.</w:t>
            </w:r>
            <w:r>
              <w:rPr>
                <w:rFonts w:hint="eastAsia" w:ascii="仿宋_GB2312" w:hAnsi="宋体" w:eastAsia="仿宋_GB2312" w:cs="仿宋_GB2312"/>
              </w:rPr>
              <w:t>建立健全企业劳动争议调解组织，充分利用企业调解组织成功化解劳资纠纷，案例报区劳动仲裁备案。</w:t>
            </w:r>
            <w:r>
              <w:rPr>
                <w:rFonts w:ascii="仿宋_GB2312" w:hAnsi="宋体" w:eastAsia="仿宋_GB2312" w:cs="仿宋_GB2312"/>
              </w:rPr>
              <w:t xml:space="preserve"> </w:t>
            </w:r>
          </w:p>
          <w:p>
            <w:pPr>
              <w:spacing w:line="260" w:lineRule="exact"/>
              <w:jc w:val="left"/>
              <w:rPr>
                <w:rFonts w:ascii="仿宋_GB2312" w:eastAsia="仿宋_GB2312"/>
              </w:rPr>
            </w:pPr>
            <w:r>
              <w:rPr>
                <w:rFonts w:ascii="仿宋_GB2312" w:hAnsi="宋体" w:eastAsia="仿宋_GB2312" w:cs="仿宋_GB2312"/>
              </w:rPr>
              <w:t>2.</w:t>
            </w:r>
            <w:r>
              <w:rPr>
                <w:rFonts w:hint="eastAsia" w:ascii="仿宋_GB2312" w:hAnsi="宋体" w:eastAsia="仿宋_GB2312" w:cs="仿宋_GB2312"/>
              </w:rPr>
              <w:t>发生涉及职工</w:t>
            </w:r>
            <w:r>
              <w:rPr>
                <w:rFonts w:ascii="仿宋_GB2312" w:hAnsi="宋体" w:eastAsia="仿宋_GB2312" w:cs="仿宋_GB2312"/>
              </w:rPr>
              <w:t>20</w:t>
            </w:r>
            <w:r>
              <w:rPr>
                <w:rFonts w:hint="eastAsia" w:ascii="仿宋_GB2312" w:hAnsi="宋体" w:eastAsia="仿宋_GB2312" w:cs="仿宋_GB2312"/>
              </w:rPr>
              <w:t>人及以上重大裁减员事项时提前一个月向就失业管理部门报告。</w:t>
            </w:r>
            <w:r>
              <w:rPr>
                <w:rFonts w:ascii="仿宋_GB2312" w:hAnsi="宋体" w:eastAsia="仿宋_GB2312" w:cs="仿宋_GB2312"/>
              </w:rPr>
              <w:t xml:space="preserve"> </w:t>
            </w:r>
          </w:p>
          <w:p>
            <w:pPr>
              <w:spacing w:line="260" w:lineRule="exact"/>
              <w:jc w:val="left"/>
              <w:rPr>
                <w:rFonts w:ascii="仿宋_GB2312" w:hAnsi="宋体" w:eastAsia="仿宋_GB2312" w:cs="仿宋_GB2312"/>
              </w:rPr>
            </w:pPr>
            <w:r>
              <w:rPr>
                <w:rFonts w:ascii="仿宋_GB2312" w:hAnsi="宋体" w:eastAsia="仿宋_GB2312" w:cs="仿宋_GB2312"/>
              </w:rPr>
              <w:t>3</w:t>
            </w:r>
            <w:r>
              <w:rPr>
                <w:rFonts w:ascii="仿宋_GB2312" w:eastAsia="仿宋_GB2312" w:cs="仿宋_GB2312"/>
              </w:rPr>
              <w:t>.</w:t>
            </w:r>
            <w:r>
              <w:rPr>
                <w:rFonts w:hint="eastAsia" w:ascii="仿宋_GB2312" w:hAnsi="宋体" w:eastAsia="仿宋_GB2312" w:cs="仿宋_GB2312"/>
              </w:rPr>
              <w:t>参加劳动关系协调员、调解员专业资质培训。</w:t>
            </w:r>
            <w:r>
              <w:rPr>
                <w:rFonts w:ascii="仿宋_GB2312" w:hAnsi="宋体" w:eastAsia="仿宋_GB2312" w:cs="仿宋_GB2312"/>
              </w:rPr>
              <w:t xml:space="preserve"> </w:t>
            </w:r>
          </w:p>
          <w:p>
            <w:pPr>
              <w:spacing w:line="260" w:lineRule="exact"/>
              <w:jc w:val="left"/>
              <w:rPr>
                <w:rFonts w:ascii="仿宋_GB2312" w:eastAsia="仿宋_GB2312"/>
              </w:rPr>
            </w:pPr>
            <w:r>
              <w:rPr>
                <w:rFonts w:ascii="仿宋_GB2312" w:hAnsi="宋体" w:eastAsia="仿宋_GB2312" w:cs="仿宋_GB2312"/>
              </w:rPr>
              <w:t>4</w:t>
            </w:r>
            <w:r>
              <w:rPr>
                <w:rFonts w:ascii="仿宋_GB2312" w:eastAsia="仿宋_GB2312" w:cs="仿宋_GB2312"/>
              </w:rPr>
              <w:t>.</w:t>
            </w:r>
            <w:r>
              <w:rPr>
                <w:rFonts w:hint="eastAsia" w:ascii="仿宋_GB2312" w:hAnsi="宋体" w:eastAsia="仿宋_GB2312" w:cs="仿宋_GB2312"/>
              </w:rPr>
              <w:t>企业高管、人资、工会按要求参加劳动法律法规培训。</w:t>
            </w:r>
            <w:r>
              <w:rPr>
                <w:rFonts w:ascii="仿宋_GB2312" w:hAnsi="宋体" w:eastAsia="仿宋_GB2312" w:cs="仿宋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8" w:hRule="atLeast"/>
          <w:jc w:val="center"/>
        </w:trPr>
        <w:tc>
          <w:tcPr>
            <w:tcW w:w="724" w:type="dxa"/>
            <w:vMerge w:val="restart"/>
            <w:noWrap w:val="0"/>
            <w:vAlign w:val="center"/>
          </w:tcPr>
          <w:p>
            <w:pPr>
              <w:spacing w:line="360" w:lineRule="exact"/>
              <w:jc w:val="center"/>
              <w:rPr>
                <w:rFonts w:ascii="仿宋_GB2312" w:eastAsia="仿宋_GB2312"/>
                <w:b/>
                <w:bCs/>
              </w:rPr>
            </w:pPr>
            <w:r>
              <w:rPr>
                <w:rFonts w:hint="eastAsia" w:ascii="仿宋_GB2312" w:hAnsi="宋体" w:eastAsia="仿宋_GB2312" w:cs="仿宋_GB2312"/>
                <w:b/>
                <w:bCs/>
              </w:rPr>
              <w:t>劳动关系运行指标</w:t>
            </w:r>
          </w:p>
        </w:tc>
        <w:tc>
          <w:tcPr>
            <w:tcW w:w="2388" w:type="dxa"/>
            <w:noWrap w:val="0"/>
            <w:vAlign w:val="center"/>
          </w:tcPr>
          <w:p>
            <w:pPr>
              <w:spacing w:line="240" w:lineRule="exact"/>
              <w:rPr>
                <w:rFonts w:ascii="仿宋_GB2312" w:eastAsia="仿宋_GB2312"/>
              </w:rPr>
            </w:pPr>
            <w:r>
              <w:rPr>
                <w:rFonts w:hint="eastAsia" w:ascii="仿宋_GB2312" w:hAnsi="宋体" w:eastAsia="仿宋_GB2312" w:cs="仿宋_GB2312"/>
              </w:rPr>
              <w:t>（十）倾听职工意见情况</w:t>
            </w:r>
          </w:p>
        </w:tc>
        <w:tc>
          <w:tcPr>
            <w:tcW w:w="11775" w:type="dxa"/>
            <w:noWrap w:val="0"/>
            <w:vAlign w:val="center"/>
          </w:tcPr>
          <w:p>
            <w:pPr>
              <w:spacing w:line="240" w:lineRule="exact"/>
              <w:ind w:left="210" w:hanging="210" w:hangingChars="100"/>
              <w:jc w:val="left"/>
              <w:rPr>
                <w:rFonts w:ascii="仿宋_GB2312" w:eastAsia="仿宋_GB2312"/>
              </w:rPr>
            </w:pPr>
            <w:r>
              <w:rPr>
                <w:rFonts w:ascii="仿宋_GB2312" w:hAnsi="宋体" w:eastAsia="仿宋_GB2312" w:cs="仿宋_GB2312"/>
              </w:rPr>
              <w:t>1</w:t>
            </w:r>
            <w:r>
              <w:rPr>
                <w:rFonts w:ascii="仿宋_GB2312" w:eastAsia="仿宋_GB2312" w:cs="仿宋_GB2312"/>
              </w:rPr>
              <w:t>.</w:t>
            </w:r>
            <w:r>
              <w:rPr>
                <w:rFonts w:hint="eastAsia" w:ascii="仿宋_GB2312" w:hAnsi="宋体" w:eastAsia="仿宋_GB2312" w:cs="仿宋_GB2312"/>
              </w:rPr>
              <w:t>倾听渠道顺畅。建立倾听职工意见的渠道，倾听方式可集中开展，也可分散进行；倾听职工意见的渠道要便捷，方式方法适合职工工作需求。</w:t>
            </w:r>
            <w:r>
              <w:rPr>
                <w:rFonts w:ascii="仿宋_GB2312" w:hAnsi="宋体" w:eastAsia="仿宋_GB2312" w:cs="仿宋_GB2312"/>
              </w:rPr>
              <w:t xml:space="preserve"> </w:t>
            </w:r>
          </w:p>
          <w:p>
            <w:pPr>
              <w:spacing w:line="240" w:lineRule="exact"/>
              <w:ind w:left="210" w:hanging="210" w:hangingChars="100"/>
              <w:jc w:val="left"/>
              <w:rPr>
                <w:rFonts w:ascii="仿宋_GB2312" w:eastAsia="仿宋_GB2312"/>
              </w:rPr>
            </w:pPr>
            <w:r>
              <w:rPr>
                <w:rFonts w:ascii="仿宋_GB2312" w:hAnsi="宋体" w:eastAsia="仿宋_GB2312" w:cs="仿宋_GB2312"/>
              </w:rPr>
              <w:t>2</w:t>
            </w:r>
            <w:r>
              <w:rPr>
                <w:rFonts w:ascii="仿宋_GB2312" w:eastAsia="仿宋_GB2312" w:cs="仿宋_GB2312"/>
              </w:rPr>
              <w:t>.</w:t>
            </w:r>
            <w:r>
              <w:rPr>
                <w:rFonts w:hint="eastAsia" w:ascii="仿宋_GB2312" w:hAnsi="宋体" w:eastAsia="仿宋_GB2312" w:cs="仿宋_GB2312"/>
              </w:rPr>
              <w:t>倾听有序规范。不定期或定期的倾听职工意见，倾听对象可固定，也可不固定；倾听职工意见渠道的形成了惯例或文件制度等，保障倾听顺利进行。</w:t>
            </w:r>
            <w:r>
              <w:rPr>
                <w:rFonts w:ascii="仿宋_GB2312" w:hAnsi="宋体" w:eastAsia="仿宋_GB2312" w:cs="仿宋_GB2312"/>
              </w:rPr>
              <w:t xml:space="preserve"> </w:t>
            </w:r>
          </w:p>
          <w:p>
            <w:pPr>
              <w:spacing w:line="240" w:lineRule="exact"/>
              <w:jc w:val="left"/>
              <w:rPr>
                <w:rFonts w:ascii="仿宋_GB2312" w:eastAsia="仿宋_GB2312"/>
              </w:rPr>
            </w:pPr>
            <w:r>
              <w:rPr>
                <w:rFonts w:ascii="仿宋_GB2312" w:hAnsi="宋体" w:eastAsia="仿宋_GB2312" w:cs="仿宋_GB2312"/>
              </w:rPr>
              <w:t>3</w:t>
            </w:r>
            <w:r>
              <w:rPr>
                <w:rFonts w:ascii="仿宋_GB2312" w:eastAsia="仿宋_GB2312" w:cs="仿宋_GB2312"/>
              </w:rPr>
              <w:t>.</w:t>
            </w:r>
            <w:r>
              <w:rPr>
                <w:rFonts w:hint="eastAsia" w:ascii="仿宋_GB2312" w:hAnsi="宋体" w:eastAsia="仿宋_GB2312" w:cs="仿宋_GB2312"/>
              </w:rPr>
              <w:t>倾听重点突出。倾听职工意见可集中在职工工作生活相关事项，更应关注员工工资、福利、保险等核心事项。</w:t>
            </w:r>
          </w:p>
          <w:p>
            <w:pPr>
              <w:spacing w:line="240" w:lineRule="exact"/>
              <w:ind w:left="210" w:hanging="210" w:hangingChars="100"/>
              <w:jc w:val="left"/>
              <w:rPr>
                <w:rFonts w:ascii="仿宋_GB2312" w:eastAsia="仿宋_GB2312"/>
              </w:rPr>
            </w:pPr>
            <w:r>
              <w:rPr>
                <w:rFonts w:ascii="仿宋_GB2312" w:hAnsi="宋体" w:eastAsia="仿宋_GB2312" w:cs="仿宋_GB2312"/>
              </w:rPr>
              <w:t>4</w:t>
            </w:r>
            <w:r>
              <w:rPr>
                <w:rFonts w:ascii="仿宋_GB2312" w:eastAsia="仿宋_GB2312" w:cs="仿宋_GB2312"/>
              </w:rPr>
              <w:t>.</w:t>
            </w:r>
            <w:r>
              <w:rPr>
                <w:rFonts w:hint="eastAsia" w:ascii="仿宋_GB2312" w:hAnsi="宋体" w:eastAsia="仿宋_GB2312" w:cs="仿宋_GB2312"/>
              </w:rPr>
              <w:t>倾听及时有效。倾听过程中与职工保持互动，及时解答职工疑问；整理分析倾听信息，区分收集信息是个别意见还是涉及较多职工意见等，形成建议提案等。</w:t>
            </w:r>
            <w:r>
              <w:rPr>
                <w:rFonts w:ascii="仿宋_GB2312" w:hAnsi="宋体" w:eastAsia="仿宋_GB2312" w:cs="仿宋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0" w:hRule="atLeast"/>
          <w:jc w:val="center"/>
        </w:trPr>
        <w:tc>
          <w:tcPr>
            <w:tcW w:w="724" w:type="dxa"/>
            <w:vMerge w:val="continue"/>
            <w:noWrap w:val="0"/>
            <w:vAlign w:val="center"/>
          </w:tcPr>
          <w:p>
            <w:pPr>
              <w:widowControl/>
              <w:jc w:val="left"/>
              <w:rPr>
                <w:rFonts w:ascii="仿宋_GB2312" w:eastAsia="仿宋_GB2312"/>
                <w:b/>
                <w:bCs/>
              </w:rPr>
            </w:pPr>
          </w:p>
        </w:tc>
        <w:tc>
          <w:tcPr>
            <w:tcW w:w="2388" w:type="dxa"/>
            <w:noWrap w:val="0"/>
            <w:vAlign w:val="center"/>
          </w:tcPr>
          <w:p>
            <w:pPr>
              <w:spacing w:line="240" w:lineRule="exact"/>
              <w:rPr>
                <w:rFonts w:ascii="仿宋_GB2312" w:eastAsia="仿宋_GB2312"/>
              </w:rPr>
            </w:pPr>
            <w:r>
              <w:rPr>
                <w:rFonts w:hint="eastAsia" w:ascii="仿宋_GB2312" w:hAnsi="宋体" w:eastAsia="仿宋_GB2312" w:cs="仿宋_GB2312"/>
              </w:rPr>
              <w:t>（十一）劳资双方沟通协商情况</w:t>
            </w:r>
          </w:p>
        </w:tc>
        <w:tc>
          <w:tcPr>
            <w:tcW w:w="11775" w:type="dxa"/>
            <w:noWrap w:val="0"/>
            <w:vAlign w:val="center"/>
          </w:tcPr>
          <w:p>
            <w:pPr>
              <w:spacing w:line="240" w:lineRule="exact"/>
              <w:jc w:val="left"/>
              <w:rPr>
                <w:rFonts w:ascii="仿宋_GB2312" w:eastAsia="仿宋_GB2312"/>
              </w:rPr>
            </w:pPr>
            <w:r>
              <w:rPr>
                <w:rFonts w:ascii="仿宋_GB2312" w:hAnsi="宋体" w:eastAsia="仿宋_GB2312" w:cs="仿宋_GB2312"/>
              </w:rPr>
              <w:t>1.</w:t>
            </w:r>
            <w:r>
              <w:rPr>
                <w:rFonts w:hint="eastAsia" w:ascii="仿宋_GB2312" w:hAnsi="宋体" w:eastAsia="仿宋_GB2312" w:cs="仿宋_GB2312"/>
              </w:rPr>
              <w:t>沟通渠道顺畅。建立沟通协商渠道，沟通协商方式方法适合企业发展，有利于增强沟通。</w:t>
            </w:r>
            <w:r>
              <w:rPr>
                <w:rFonts w:ascii="仿宋_GB2312" w:hAnsi="宋体" w:eastAsia="仿宋_GB2312" w:cs="仿宋_GB2312"/>
              </w:rPr>
              <w:t xml:space="preserve"> </w:t>
            </w:r>
          </w:p>
          <w:p>
            <w:pPr>
              <w:spacing w:line="240" w:lineRule="exact"/>
              <w:ind w:left="210" w:hanging="210" w:hangingChars="100"/>
              <w:jc w:val="left"/>
              <w:rPr>
                <w:rFonts w:ascii="仿宋_GB2312" w:eastAsia="仿宋_GB2312"/>
              </w:rPr>
            </w:pPr>
            <w:r>
              <w:rPr>
                <w:rFonts w:ascii="仿宋_GB2312" w:hAnsi="宋体" w:eastAsia="仿宋_GB2312" w:cs="仿宋_GB2312"/>
              </w:rPr>
              <w:t>2.</w:t>
            </w:r>
            <w:r>
              <w:rPr>
                <w:rFonts w:hint="eastAsia" w:ascii="仿宋_GB2312" w:hAnsi="宋体" w:eastAsia="仿宋_GB2312" w:cs="仿宋_GB2312"/>
              </w:rPr>
              <w:t>沟通有序规范。工会定期或不定期的与企业方沟通，及时通报信息，互通有无，有利于促进企业劳动关系稳定，沟通形式已形成惯例或文件制度等，保障沟通顺利进行。</w:t>
            </w:r>
            <w:r>
              <w:rPr>
                <w:rFonts w:ascii="仿宋_GB2312" w:hAnsi="宋体" w:eastAsia="仿宋_GB2312" w:cs="仿宋_GB2312"/>
              </w:rPr>
              <w:t xml:space="preserve"> </w:t>
            </w:r>
          </w:p>
          <w:p>
            <w:pPr>
              <w:spacing w:line="240" w:lineRule="exact"/>
              <w:jc w:val="left"/>
              <w:rPr>
                <w:rFonts w:ascii="仿宋_GB2312" w:eastAsia="仿宋_GB2312"/>
              </w:rPr>
            </w:pPr>
            <w:r>
              <w:rPr>
                <w:rFonts w:ascii="仿宋_GB2312" w:hAnsi="宋体" w:eastAsia="仿宋_GB2312" w:cs="仿宋_GB2312"/>
              </w:rPr>
              <w:t>3.</w:t>
            </w:r>
            <w:r>
              <w:rPr>
                <w:rFonts w:hint="eastAsia" w:ascii="仿宋_GB2312" w:hAnsi="宋体" w:eastAsia="仿宋_GB2312" w:cs="仿宋_GB2312"/>
              </w:rPr>
              <w:t>沟通重点突出。沟通事项可集中在职工工作生活相关等内容，更应关注员工工资、福利、保险等核心事项。</w:t>
            </w:r>
            <w:r>
              <w:rPr>
                <w:rFonts w:ascii="仿宋_GB2312" w:hAnsi="宋体" w:eastAsia="仿宋_GB2312" w:cs="仿宋_GB2312"/>
              </w:rPr>
              <w:t xml:space="preserve"> </w:t>
            </w:r>
          </w:p>
          <w:p>
            <w:pPr>
              <w:spacing w:line="240" w:lineRule="exact"/>
              <w:ind w:left="210" w:hanging="210" w:hangingChars="100"/>
              <w:jc w:val="left"/>
              <w:rPr>
                <w:rFonts w:ascii="仿宋_GB2312" w:eastAsia="仿宋_GB2312"/>
              </w:rPr>
            </w:pPr>
            <w:r>
              <w:rPr>
                <w:rFonts w:ascii="仿宋_GB2312" w:hAnsi="宋体" w:eastAsia="仿宋_GB2312" w:cs="仿宋_GB2312"/>
              </w:rPr>
              <w:t>4.</w:t>
            </w:r>
            <w:r>
              <w:rPr>
                <w:rFonts w:hint="eastAsia" w:ascii="仿宋_GB2312" w:hAnsi="宋体" w:eastAsia="仿宋_GB2312" w:cs="仿宋_GB2312"/>
              </w:rPr>
              <w:t>沟通及时有效。沟通过程与职工保持互动，及时通报协商进展，保障沟通结果能够取得职工认可，并形成决议或文件，保障各项事项顺利落实。</w:t>
            </w:r>
            <w:r>
              <w:rPr>
                <w:rFonts w:ascii="仿宋_GB2312" w:hAnsi="宋体" w:eastAsia="仿宋_GB2312" w:cs="仿宋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3" w:hRule="atLeast"/>
          <w:jc w:val="center"/>
        </w:trPr>
        <w:tc>
          <w:tcPr>
            <w:tcW w:w="724" w:type="dxa"/>
            <w:vMerge w:val="continue"/>
            <w:noWrap w:val="0"/>
            <w:vAlign w:val="center"/>
          </w:tcPr>
          <w:p>
            <w:pPr>
              <w:widowControl/>
              <w:jc w:val="left"/>
              <w:rPr>
                <w:rFonts w:ascii="仿宋_GB2312" w:eastAsia="仿宋_GB2312"/>
                <w:b/>
                <w:bCs/>
              </w:rPr>
            </w:pPr>
          </w:p>
        </w:tc>
        <w:tc>
          <w:tcPr>
            <w:tcW w:w="2388" w:type="dxa"/>
            <w:noWrap w:val="0"/>
            <w:vAlign w:val="center"/>
          </w:tcPr>
          <w:p>
            <w:pPr>
              <w:spacing w:line="240" w:lineRule="exact"/>
              <w:rPr>
                <w:rFonts w:ascii="仿宋_GB2312" w:eastAsia="仿宋_GB2312"/>
              </w:rPr>
            </w:pPr>
            <w:r>
              <w:rPr>
                <w:rFonts w:hint="eastAsia" w:ascii="仿宋_GB2312" w:hAnsi="宋体" w:eastAsia="仿宋_GB2312" w:cs="仿宋_GB2312"/>
              </w:rPr>
              <w:t>（十二）改善劳动关系措施情况</w:t>
            </w:r>
          </w:p>
        </w:tc>
        <w:tc>
          <w:tcPr>
            <w:tcW w:w="11775" w:type="dxa"/>
            <w:noWrap w:val="0"/>
            <w:vAlign w:val="center"/>
          </w:tcPr>
          <w:p>
            <w:pPr>
              <w:spacing w:line="240" w:lineRule="exact"/>
              <w:jc w:val="left"/>
              <w:rPr>
                <w:rFonts w:ascii="仿宋_GB2312" w:eastAsia="仿宋_GB2312"/>
              </w:rPr>
            </w:pPr>
            <w:r>
              <w:rPr>
                <w:rFonts w:ascii="仿宋_GB2312" w:hAnsi="宋体" w:eastAsia="仿宋_GB2312" w:cs="仿宋_GB2312"/>
              </w:rPr>
              <w:t>1.</w:t>
            </w:r>
            <w:r>
              <w:rPr>
                <w:rFonts w:hint="eastAsia" w:ascii="仿宋_GB2312" w:hAnsi="宋体" w:eastAsia="仿宋_GB2312" w:cs="仿宋_GB2312"/>
              </w:rPr>
              <w:t>改善措施及时。全面及时落实协商结果，及时反馈期间遇到的问题，落实措施过程及结果得到职工认可。</w:t>
            </w:r>
            <w:r>
              <w:rPr>
                <w:rFonts w:ascii="仿宋_GB2312" w:hAnsi="宋体" w:eastAsia="仿宋_GB2312" w:cs="仿宋_GB2312"/>
              </w:rPr>
              <w:t xml:space="preserve"> </w:t>
            </w:r>
          </w:p>
          <w:p>
            <w:pPr>
              <w:spacing w:line="240" w:lineRule="exact"/>
              <w:jc w:val="left"/>
              <w:rPr>
                <w:rFonts w:ascii="仿宋_GB2312" w:eastAsia="仿宋_GB2312"/>
              </w:rPr>
            </w:pPr>
            <w:r>
              <w:rPr>
                <w:rFonts w:ascii="仿宋_GB2312" w:hAnsi="宋体" w:eastAsia="仿宋_GB2312" w:cs="仿宋_GB2312"/>
              </w:rPr>
              <w:t>2.</w:t>
            </w:r>
            <w:r>
              <w:rPr>
                <w:rFonts w:hint="eastAsia" w:ascii="仿宋_GB2312" w:hAnsi="宋体" w:eastAsia="仿宋_GB2312" w:cs="仿宋_GB2312"/>
              </w:rPr>
              <w:t>改善措施有效。反馈问题得到有效解决，职工广泛认可。</w:t>
            </w:r>
            <w:r>
              <w:rPr>
                <w:rFonts w:ascii="仿宋_GB2312" w:hAnsi="宋体" w:eastAsia="仿宋_GB2312" w:cs="仿宋_GB2312"/>
              </w:rPr>
              <w:t xml:space="preserve"> </w:t>
            </w:r>
          </w:p>
          <w:p>
            <w:pPr>
              <w:spacing w:line="240" w:lineRule="exact"/>
              <w:jc w:val="left"/>
              <w:rPr>
                <w:rFonts w:ascii="仿宋_GB2312" w:eastAsia="仿宋_GB2312"/>
              </w:rPr>
            </w:pPr>
            <w:r>
              <w:rPr>
                <w:rFonts w:ascii="仿宋_GB2312" w:hAnsi="宋体" w:eastAsia="仿宋_GB2312" w:cs="仿宋_GB2312"/>
              </w:rPr>
              <w:t>3.</w:t>
            </w:r>
            <w:r>
              <w:rPr>
                <w:rFonts w:hint="eastAsia" w:ascii="仿宋_GB2312" w:hAnsi="宋体" w:eastAsia="仿宋_GB2312" w:cs="仿宋_GB2312"/>
              </w:rPr>
              <w:t>形成特色运行机制。围绕劳动关系和谐，延伸工作内容，可复制可推广，形成自有特色的工作机制。</w:t>
            </w:r>
            <w:r>
              <w:rPr>
                <w:rFonts w:ascii="仿宋_GB2312" w:hAnsi="宋体" w:eastAsia="仿宋_GB2312" w:cs="仿宋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jc w:val="center"/>
        </w:trPr>
        <w:tc>
          <w:tcPr>
            <w:tcW w:w="724" w:type="dxa"/>
            <w:vMerge w:val="restart"/>
            <w:noWrap w:val="0"/>
            <w:vAlign w:val="center"/>
          </w:tcPr>
          <w:p>
            <w:pPr>
              <w:spacing w:line="360" w:lineRule="exact"/>
              <w:jc w:val="center"/>
              <w:rPr>
                <w:rFonts w:ascii="仿宋_GB2312" w:eastAsia="仿宋_GB2312"/>
              </w:rPr>
            </w:pPr>
            <w:r>
              <w:rPr>
                <w:rFonts w:hint="eastAsia" w:ascii="仿宋_GB2312" w:hAnsi="宋体" w:eastAsia="仿宋_GB2312" w:cs="仿宋_GB2312"/>
                <w:b/>
                <w:bCs/>
              </w:rPr>
              <w:t>劳动关系发展指标</w:t>
            </w:r>
          </w:p>
        </w:tc>
        <w:tc>
          <w:tcPr>
            <w:tcW w:w="2388" w:type="dxa"/>
            <w:noWrap w:val="0"/>
            <w:vAlign w:val="center"/>
          </w:tcPr>
          <w:p>
            <w:pPr>
              <w:spacing w:line="240" w:lineRule="exact"/>
              <w:rPr>
                <w:rFonts w:ascii="仿宋_GB2312" w:eastAsia="仿宋_GB2312"/>
              </w:rPr>
            </w:pPr>
            <w:r>
              <w:rPr>
                <w:rFonts w:hint="eastAsia" w:ascii="仿宋_GB2312" w:hAnsi="宋体" w:eastAsia="仿宋_GB2312" w:cs="仿宋_GB2312"/>
              </w:rPr>
              <w:t>（十三）工作环境改善</w:t>
            </w:r>
          </w:p>
        </w:tc>
        <w:tc>
          <w:tcPr>
            <w:tcW w:w="11775" w:type="dxa"/>
            <w:noWrap w:val="0"/>
            <w:vAlign w:val="center"/>
          </w:tcPr>
          <w:p>
            <w:pPr>
              <w:spacing w:line="240" w:lineRule="exact"/>
              <w:ind w:left="210" w:hanging="210" w:hangingChars="100"/>
              <w:jc w:val="left"/>
              <w:rPr>
                <w:rFonts w:ascii="仿宋_GB2312" w:eastAsia="仿宋_GB2312"/>
              </w:rPr>
            </w:pPr>
            <w:r>
              <w:rPr>
                <w:rFonts w:ascii="仿宋_GB2312" w:hAnsi="宋体" w:eastAsia="仿宋_GB2312" w:cs="仿宋_GB2312"/>
              </w:rPr>
              <w:t>1.</w:t>
            </w:r>
            <w:r>
              <w:rPr>
                <w:rFonts w:hint="eastAsia" w:ascii="仿宋_GB2312" w:hAnsi="宋体" w:eastAsia="仿宋_GB2312" w:cs="仿宋_GB2312"/>
              </w:rPr>
              <w:t>规章制度科学合理、清晰准确，可操作性强。</w:t>
            </w:r>
            <w:r>
              <w:rPr>
                <w:rFonts w:ascii="仿宋_GB2312" w:hAnsi="宋体" w:eastAsia="仿宋_GB2312" w:cs="仿宋_GB2312"/>
              </w:rPr>
              <w:t xml:space="preserve"> </w:t>
            </w:r>
          </w:p>
          <w:p>
            <w:pPr>
              <w:spacing w:line="240" w:lineRule="exact"/>
              <w:ind w:left="210" w:hanging="210" w:hangingChars="100"/>
              <w:jc w:val="left"/>
              <w:rPr>
                <w:rFonts w:ascii="仿宋_GB2312" w:eastAsia="仿宋_GB2312"/>
              </w:rPr>
            </w:pPr>
            <w:r>
              <w:rPr>
                <w:rFonts w:ascii="仿宋_GB2312" w:hAnsi="宋体" w:eastAsia="仿宋_GB2312" w:cs="仿宋_GB2312"/>
              </w:rPr>
              <w:t>2.</w:t>
            </w:r>
            <w:r>
              <w:rPr>
                <w:rFonts w:hint="eastAsia" w:ascii="仿宋_GB2312" w:hAnsi="宋体" w:eastAsia="仿宋_GB2312" w:cs="仿宋_GB2312"/>
              </w:rPr>
              <w:t>劳务派遣、外包、实习生使用比例规范合理。</w:t>
            </w:r>
            <w:r>
              <w:rPr>
                <w:rFonts w:ascii="仿宋_GB2312" w:hAnsi="宋体" w:eastAsia="仿宋_GB2312" w:cs="仿宋_GB2312"/>
              </w:rPr>
              <w:t xml:space="preserve"> </w:t>
            </w:r>
          </w:p>
          <w:p>
            <w:pPr>
              <w:spacing w:line="240" w:lineRule="exact"/>
              <w:ind w:left="210" w:hanging="210" w:hangingChars="100"/>
              <w:jc w:val="left"/>
              <w:rPr>
                <w:rFonts w:ascii="仿宋_GB2312" w:eastAsia="仿宋_GB2312"/>
              </w:rPr>
            </w:pPr>
            <w:r>
              <w:rPr>
                <w:rFonts w:ascii="仿宋_GB2312" w:hAnsi="宋体" w:eastAsia="仿宋_GB2312" w:cs="仿宋_GB2312"/>
              </w:rPr>
              <w:t>3.</w:t>
            </w:r>
            <w:r>
              <w:rPr>
                <w:rFonts w:hint="eastAsia" w:ascii="仿宋_GB2312" w:hAnsi="宋体" w:eastAsia="仿宋_GB2312" w:cs="仿宋_GB2312"/>
              </w:rPr>
              <w:t>定期投入固定资金对企业环境治理设备进行更新改造，配置和完善通风、去霾、降温、防尘、防毒、降噪等设施。</w:t>
            </w:r>
            <w:r>
              <w:rPr>
                <w:rFonts w:ascii="仿宋_GB2312" w:hAnsi="宋体" w:eastAsia="仿宋_GB2312" w:cs="仿宋_GB2312"/>
              </w:rPr>
              <w:t xml:space="preserve"> </w:t>
            </w:r>
          </w:p>
          <w:p>
            <w:pPr>
              <w:spacing w:line="240" w:lineRule="exact"/>
              <w:ind w:left="210" w:hanging="210" w:hangingChars="100"/>
              <w:jc w:val="left"/>
              <w:rPr>
                <w:rFonts w:ascii="仿宋_GB2312" w:eastAsia="仿宋_GB2312"/>
              </w:rPr>
            </w:pPr>
            <w:r>
              <w:rPr>
                <w:rFonts w:ascii="仿宋_GB2312" w:hAnsi="宋体" w:eastAsia="仿宋_GB2312" w:cs="仿宋_GB2312"/>
              </w:rPr>
              <w:t>4.</w:t>
            </w:r>
            <w:r>
              <w:rPr>
                <w:rFonts w:hint="eastAsia" w:ascii="仿宋_GB2312" w:hAnsi="宋体" w:eastAsia="仿宋_GB2312" w:cs="仿宋_GB2312"/>
              </w:rPr>
              <w:t>配备卫生防护保健设施、应急药品，定期安排员工健康检查、疗休养，完善职业病防治等方面情况。</w:t>
            </w:r>
            <w:r>
              <w:rPr>
                <w:rFonts w:ascii="仿宋_GB2312" w:hAnsi="宋体" w:eastAsia="仿宋_GB2312" w:cs="仿宋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jc w:val="center"/>
        </w:trPr>
        <w:tc>
          <w:tcPr>
            <w:tcW w:w="724" w:type="dxa"/>
            <w:vMerge w:val="continue"/>
            <w:noWrap w:val="0"/>
            <w:vAlign w:val="center"/>
          </w:tcPr>
          <w:p>
            <w:pPr>
              <w:widowControl/>
              <w:jc w:val="left"/>
              <w:rPr>
                <w:rFonts w:ascii="仿宋_GB2312" w:eastAsia="仿宋_GB2312"/>
              </w:rPr>
            </w:pPr>
          </w:p>
        </w:tc>
        <w:tc>
          <w:tcPr>
            <w:tcW w:w="2388" w:type="dxa"/>
            <w:noWrap w:val="0"/>
            <w:vAlign w:val="center"/>
          </w:tcPr>
          <w:p>
            <w:pPr>
              <w:spacing w:line="240" w:lineRule="exact"/>
              <w:rPr>
                <w:rFonts w:ascii="仿宋_GB2312" w:eastAsia="仿宋_GB2312"/>
              </w:rPr>
            </w:pPr>
            <w:r>
              <w:rPr>
                <w:rFonts w:hint="eastAsia" w:ascii="仿宋_GB2312" w:hAnsi="宋体" w:eastAsia="仿宋_GB2312" w:cs="仿宋_GB2312"/>
              </w:rPr>
              <w:t>（十四）福利待遇改善</w:t>
            </w:r>
          </w:p>
        </w:tc>
        <w:tc>
          <w:tcPr>
            <w:tcW w:w="11775" w:type="dxa"/>
            <w:noWrap w:val="0"/>
            <w:vAlign w:val="center"/>
          </w:tcPr>
          <w:p>
            <w:pPr>
              <w:spacing w:line="240" w:lineRule="exact"/>
              <w:jc w:val="left"/>
              <w:rPr>
                <w:rFonts w:ascii="仿宋_GB2312" w:eastAsia="仿宋_GB2312"/>
              </w:rPr>
            </w:pPr>
            <w:r>
              <w:rPr>
                <w:rFonts w:ascii="仿宋_GB2312" w:hAnsi="宋体" w:eastAsia="仿宋_GB2312" w:cs="仿宋_GB2312"/>
              </w:rPr>
              <w:t>1.</w:t>
            </w:r>
            <w:r>
              <w:rPr>
                <w:rFonts w:hint="eastAsia" w:ascii="仿宋_GB2312" w:hAnsi="宋体" w:eastAsia="仿宋_GB2312" w:cs="仿宋_GB2312"/>
              </w:rPr>
              <w:t>不断改善职工用餐、交通、住宿等方面的环境。</w:t>
            </w:r>
            <w:r>
              <w:rPr>
                <w:rFonts w:ascii="仿宋_GB2312" w:hAnsi="宋体" w:eastAsia="仿宋_GB2312" w:cs="仿宋_GB2312"/>
              </w:rPr>
              <w:t xml:space="preserve"> </w:t>
            </w:r>
          </w:p>
          <w:p>
            <w:pPr>
              <w:spacing w:line="240" w:lineRule="exact"/>
              <w:ind w:left="210" w:hanging="210" w:hangingChars="100"/>
              <w:jc w:val="left"/>
              <w:rPr>
                <w:rFonts w:ascii="仿宋_GB2312" w:eastAsia="仿宋_GB2312"/>
              </w:rPr>
            </w:pPr>
            <w:r>
              <w:rPr>
                <w:rFonts w:ascii="仿宋_GB2312" w:hAnsi="宋体" w:eastAsia="仿宋_GB2312" w:cs="仿宋_GB2312"/>
              </w:rPr>
              <w:t>2.</w:t>
            </w:r>
            <w:r>
              <w:rPr>
                <w:rFonts w:hint="eastAsia" w:ascii="仿宋_GB2312" w:hAnsi="宋体" w:eastAsia="仿宋_GB2312" w:cs="仿宋_GB2312"/>
              </w:rPr>
              <w:t>建立并实施员工关爱制度，如职工之家、职工服务中心、心理咨询师室、母婴室、哺乳室、更衣室、淋浴室、职工书屋等。</w:t>
            </w:r>
          </w:p>
          <w:p>
            <w:pPr>
              <w:spacing w:line="240" w:lineRule="exact"/>
              <w:jc w:val="left"/>
              <w:rPr>
                <w:rFonts w:ascii="仿宋_GB2312" w:eastAsia="仿宋_GB2312"/>
              </w:rPr>
            </w:pPr>
            <w:r>
              <w:rPr>
                <w:rFonts w:ascii="仿宋_GB2312" w:hAnsi="宋体" w:eastAsia="仿宋_GB2312" w:cs="仿宋_GB2312"/>
              </w:rPr>
              <w:t>3.</w:t>
            </w:r>
            <w:r>
              <w:rPr>
                <w:rFonts w:hint="eastAsia" w:ascii="仿宋_GB2312" w:hAnsi="宋体" w:eastAsia="仿宋_GB2312" w:cs="仿宋_GB2312"/>
              </w:rPr>
              <w:t>注重企业文化建设，支持职工社团发展，提升职工素养。</w:t>
            </w:r>
            <w:r>
              <w:rPr>
                <w:rFonts w:ascii="仿宋_GB2312" w:hAnsi="宋体" w:eastAsia="仿宋_GB2312" w:cs="仿宋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jc w:val="center"/>
        </w:trPr>
        <w:tc>
          <w:tcPr>
            <w:tcW w:w="724" w:type="dxa"/>
            <w:vMerge w:val="continue"/>
            <w:noWrap w:val="0"/>
            <w:vAlign w:val="center"/>
          </w:tcPr>
          <w:p>
            <w:pPr>
              <w:widowControl/>
              <w:jc w:val="left"/>
              <w:rPr>
                <w:rFonts w:ascii="仿宋_GB2312" w:eastAsia="仿宋_GB2312"/>
              </w:rPr>
            </w:pPr>
          </w:p>
        </w:tc>
        <w:tc>
          <w:tcPr>
            <w:tcW w:w="2388" w:type="dxa"/>
            <w:noWrap w:val="0"/>
            <w:vAlign w:val="center"/>
          </w:tcPr>
          <w:p>
            <w:pPr>
              <w:spacing w:line="240" w:lineRule="exact"/>
              <w:rPr>
                <w:rFonts w:ascii="仿宋_GB2312" w:eastAsia="仿宋_GB2312"/>
              </w:rPr>
            </w:pPr>
            <w:r>
              <w:rPr>
                <w:rFonts w:hint="eastAsia" w:ascii="仿宋_GB2312" w:hAnsi="宋体" w:eastAsia="仿宋_GB2312" w:cs="仿宋_GB2312"/>
              </w:rPr>
              <w:t>（十五）工资合理增长</w:t>
            </w:r>
          </w:p>
        </w:tc>
        <w:tc>
          <w:tcPr>
            <w:tcW w:w="11775" w:type="dxa"/>
            <w:noWrap w:val="0"/>
            <w:vAlign w:val="center"/>
          </w:tcPr>
          <w:p>
            <w:pPr>
              <w:spacing w:line="240" w:lineRule="exact"/>
              <w:ind w:firstLine="210" w:firstLineChars="100"/>
              <w:jc w:val="left"/>
              <w:rPr>
                <w:rFonts w:ascii="仿宋_GB2312" w:eastAsia="仿宋_GB2312"/>
              </w:rPr>
            </w:pPr>
            <w:r>
              <w:rPr>
                <w:rFonts w:hint="eastAsia" w:ascii="仿宋_GB2312" w:hAnsi="宋体" w:eastAsia="仿宋_GB2312" w:cs="仿宋_GB2312"/>
              </w:rPr>
              <w:t>薪酬制度公平公正，职工报酬与职工付出相符，职工认可度高。内容包括近三年平均增长比例、与行业工资水平比较、工资增长推动因素、固定工资占比、加班工资占比、年底奖金占比等。</w:t>
            </w:r>
            <w:r>
              <w:rPr>
                <w:rFonts w:ascii="仿宋_GB2312" w:hAnsi="宋体" w:eastAsia="仿宋_GB2312" w:cs="仿宋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jc w:val="center"/>
        </w:trPr>
        <w:tc>
          <w:tcPr>
            <w:tcW w:w="724" w:type="dxa"/>
            <w:vMerge w:val="continue"/>
            <w:noWrap w:val="0"/>
            <w:vAlign w:val="center"/>
          </w:tcPr>
          <w:p>
            <w:pPr>
              <w:widowControl/>
              <w:jc w:val="left"/>
              <w:rPr>
                <w:rFonts w:ascii="仿宋_GB2312" w:eastAsia="仿宋_GB2312"/>
              </w:rPr>
            </w:pPr>
          </w:p>
        </w:tc>
        <w:tc>
          <w:tcPr>
            <w:tcW w:w="2388" w:type="dxa"/>
            <w:noWrap w:val="0"/>
            <w:vAlign w:val="center"/>
          </w:tcPr>
          <w:p>
            <w:pPr>
              <w:spacing w:line="240" w:lineRule="exact"/>
              <w:rPr>
                <w:rFonts w:ascii="仿宋_GB2312" w:eastAsia="仿宋_GB2312"/>
              </w:rPr>
            </w:pPr>
            <w:r>
              <w:rPr>
                <w:rFonts w:hint="eastAsia" w:ascii="仿宋_GB2312" w:hAnsi="宋体" w:eastAsia="仿宋_GB2312" w:cs="仿宋_GB2312"/>
              </w:rPr>
              <w:t>（十六）就业岗位稳定</w:t>
            </w:r>
          </w:p>
        </w:tc>
        <w:tc>
          <w:tcPr>
            <w:tcW w:w="11775" w:type="dxa"/>
            <w:noWrap w:val="0"/>
            <w:vAlign w:val="center"/>
          </w:tcPr>
          <w:p>
            <w:pPr>
              <w:spacing w:line="240" w:lineRule="exact"/>
              <w:jc w:val="left"/>
              <w:rPr>
                <w:rFonts w:ascii="仿宋_GB2312" w:eastAsia="仿宋_GB2312"/>
              </w:rPr>
            </w:pPr>
            <w:r>
              <w:rPr>
                <w:rFonts w:ascii="仿宋_GB2312" w:hAnsi="宋体" w:eastAsia="仿宋_GB2312" w:cs="仿宋_GB2312"/>
              </w:rPr>
              <w:t>1.</w:t>
            </w:r>
            <w:r>
              <w:rPr>
                <w:rFonts w:hint="eastAsia" w:ascii="仿宋_GB2312" w:hAnsi="宋体" w:eastAsia="仿宋_GB2312" w:cs="仿宋_GB2312"/>
              </w:rPr>
              <w:t>职工工作年限、年龄结构比例合理。</w:t>
            </w:r>
            <w:r>
              <w:rPr>
                <w:rFonts w:ascii="仿宋_GB2312" w:hAnsi="宋体" w:eastAsia="仿宋_GB2312" w:cs="仿宋_GB2312"/>
              </w:rPr>
              <w:t xml:space="preserve"> </w:t>
            </w:r>
          </w:p>
          <w:p>
            <w:pPr>
              <w:spacing w:line="240" w:lineRule="exact"/>
              <w:jc w:val="left"/>
              <w:rPr>
                <w:rFonts w:ascii="仿宋_GB2312" w:eastAsia="仿宋_GB2312"/>
              </w:rPr>
            </w:pPr>
            <w:r>
              <w:rPr>
                <w:rFonts w:ascii="仿宋_GB2312" w:hAnsi="宋体" w:eastAsia="仿宋_GB2312" w:cs="仿宋_GB2312"/>
              </w:rPr>
              <w:t>2.</w:t>
            </w:r>
            <w:r>
              <w:rPr>
                <w:rFonts w:hint="eastAsia" w:ascii="仿宋_GB2312" w:hAnsi="宋体" w:eastAsia="仿宋_GB2312" w:cs="仿宋_GB2312"/>
              </w:rPr>
              <w:t>建立亲和力管理团队，营造温馨和谐工作氛围，搭建人才发展平台，职工有发展空间。</w:t>
            </w:r>
            <w:r>
              <w:rPr>
                <w:rFonts w:ascii="仿宋_GB2312" w:hAnsi="宋体" w:eastAsia="仿宋_GB2312" w:cs="仿宋_GB2312"/>
              </w:rPr>
              <w:t xml:space="preserve"> </w:t>
            </w:r>
          </w:p>
          <w:p>
            <w:pPr>
              <w:spacing w:line="240" w:lineRule="exact"/>
              <w:jc w:val="left"/>
              <w:rPr>
                <w:rFonts w:ascii="仿宋_GB2312" w:eastAsia="仿宋_GB2312"/>
              </w:rPr>
            </w:pPr>
            <w:r>
              <w:rPr>
                <w:rFonts w:ascii="仿宋_GB2312" w:hAnsi="宋体" w:eastAsia="仿宋_GB2312" w:cs="仿宋_GB2312"/>
              </w:rPr>
              <w:t>3.</w:t>
            </w:r>
            <w:r>
              <w:rPr>
                <w:rFonts w:hint="eastAsia" w:ascii="仿宋_GB2312" w:hAnsi="宋体" w:eastAsia="仿宋_GB2312" w:cs="仿宋_GB2312"/>
              </w:rPr>
              <w:t>生产经营的困难时期，采取不裁减人员等稳岗措施，保持职工队伍稳定。</w:t>
            </w:r>
            <w:r>
              <w:rPr>
                <w:rFonts w:ascii="仿宋_GB2312" w:hAnsi="宋体" w:eastAsia="仿宋_GB2312" w:cs="仿宋_GB2312"/>
              </w:rPr>
              <w:t xml:space="preserve"> </w:t>
            </w:r>
          </w:p>
          <w:p>
            <w:pPr>
              <w:spacing w:line="240" w:lineRule="exact"/>
              <w:jc w:val="left"/>
              <w:rPr>
                <w:rFonts w:ascii="仿宋_GB2312" w:eastAsia="仿宋_GB2312"/>
              </w:rPr>
            </w:pPr>
            <w:r>
              <w:rPr>
                <w:rFonts w:ascii="仿宋_GB2312" w:hAnsi="宋体" w:eastAsia="仿宋_GB2312" w:cs="仿宋_GB2312"/>
              </w:rPr>
              <w:t>4.</w:t>
            </w:r>
            <w:r>
              <w:rPr>
                <w:rFonts w:hint="eastAsia" w:ascii="仿宋_GB2312" w:hAnsi="宋体" w:eastAsia="仿宋_GB2312" w:cs="仿宋_GB2312"/>
              </w:rPr>
              <w:t>健全内部劳动关系重大隐患预防预警机制和应急处置预案。</w:t>
            </w:r>
            <w:r>
              <w:rPr>
                <w:rFonts w:ascii="仿宋_GB2312" w:hAnsi="宋体" w:eastAsia="仿宋_GB2312" w:cs="仿宋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5" w:hRule="atLeast"/>
          <w:jc w:val="center"/>
        </w:trPr>
        <w:tc>
          <w:tcPr>
            <w:tcW w:w="724" w:type="dxa"/>
            <w:vMerge w:val="continue"/>
            <w:noWrap w:val="0"/>
            <w:vAlign w:val="center"/>
          </w:tcPr>
          <w:p>
            <w:pPr>
              <w:widowControl/>
              <w:jc w:val="left"/>
              <w:rPr>
                <w:rFonts w:ascii="仿宋_GB2312" w:eastAsia="仿宋_GB2312"/>
              </w:rPr>
            </w:pPr>
          </w:p>
        </w:tc>
        <w:tc>
          <w:tcPr>
            <w:tcW w:w="2388" w:type="dxa"/>
            <w:noWrap w:val="0"/>
            <w:vAlign w:val="center"/>
          </w:tcPr>
          <w:p>
            <w:pPr>
              <w:spacing w:line="240" w:lineRule="exact"/>
              <w:rPr>
                <w:rFonts w:ascii="仿宋_GB2312" w:eastAsia="仿宋_GB2312"/>
              </w:rPr>
            </w:pPr>
            <w:r>
              <w:rPr>
                <w:rFonts w:hint="eastAsia" w:ascii="仿宋_GB2312" w:hAnsi="宋体" w:eastAsia="仿宋_GB2312" w:cs="仿宋_GB2312"/>
              </w:rPr>
              <w:t>（十七）教育培训优化</w:t>
            </w:r>
          </w:p>
        </w:tc>
        <w:tc>
          <w:tcPr>
            <w:tcW w:w="11775" w:type="dxa"/>
            <w:noWrap w:val="0"/>
            <w:vAlign w:val="center"/>
          </w:tcPr>
          <w:p>
            <w:pPr>
              <w:spacing w:line="240" w:lineRule="exact"/>
              <w:rPr>
                <w:rFonts w:ascii="仿宋_GB2312" w:eastAsia="仿宋_GB2312"/>
              </w:rPr>
            </w:pPr>
            <w:r>
              <w:rPr>
                <w:rFonts w:ascii="仿宋_GB2312" w:hAnsi="宋体" w:eastAsia="仿宋_GB2312" w:cs="仿宋_GB2312"/>
              </w:rPr>
              <w:t>1.</w:t>
            </w:r>
            <w:r>
              <w:rPr>
                <w:rFonts w:hint="eastAsia" w:ascii="仿宋_GB2312" w:hAnsi="宋体" w:eastAsia="仿宋_GB2312" w:cs="仿宋_GB2312"/>
              </w:rPr>
              <w:t>人才职业发展教育规划完善，职工年度培训工作计划覆盖面广、可操作性强、落实到位。</w:t>
            </w:r>
            <w:r>
              <w:rPr>
                <w:rFonts w:ascii="仿宋_GB2312" w:hAnsi="宋体" w:eastAsia="仿宋_GB2312" w:cs="仿宋_GB2312"/>
              </w:rPr>
              <w:t xml:space="preserve"> </w:t>
            </w:r>
          </w:p>
          <w:p>
            <w:pPr>
              <w:spacing w:line="240" w:lineRule="exact"/>
              <w:ind w:left="210" w:hanging="210" w:hangingChars="100"/>
              <w:jc w:val="left"/>
              <w:rPr>
                <w:rFonts w:ascii="仿宋_GB2312" w:eastAsia="仿宋_GB2312"/>
              </w:rPr>
            </w:pPr>
            <w:r>
              <w:rPr>
                <w:rFonts w:ascii="仿宋_GB2312" w:hAnsi="宋体" w:eastAsia="仿宋_GB2312" w:cs="仿宋_GB2312"/>
              </w:rPr>
              <w:t>2.</w:t>
            </w:r>
            <w:r>
              <w:rPr>
                <w:rFonts w:hint="eastAsia" w:ascii="仿宋_GB2312" w:hAnsi="宋体" w:eastAsia="仿宋_GB2312" w:cs="仿宋_GB2312"/>
              </w:rPr>
              <w:t>为员工技术创新、管理模式创新等学习研究方面提供资金、文献资料、场所、人员等硬件、软件支持。</w:t>
            </w:r>
            <w:r>
              <w:rPr>
                <w:rFonts w:ascii="仿宋_GB2312" w:hAnsi="宋体" w:eastAsia="仿宋_GB2312" w:cs="仿宋_GB2312"/>
              </w:rPr>
              <w:t xml:space="preserve"> </w:t>
            </w:r>
          </w:p>
          <w:p>
            <w:pPr>
              <w:spacing w:line="240" w:lineRule="exact"/>
              <w:ind w:left="210" w:hanging="210" w:hangingChars="100"/>
              <w:jc w:val="left"/>
              <w:rPr>
                <w:rFonts w:ascii="仿宋_GB2312" w:eastAsia="仿宋_GB2312"/>
              </w:rPr>
            </w:pPr>
            <w:r>
              <w:rPr>
                <w:rFonts w:ascii="仿宋_GB2312" w:hAnsi="宋体" w:eastAsia="仿宋_GB2312" w:cs="仿宋_GB2312"/>
              </w:rPr>
              <w:t>3</w:t>
            </w:r>
            <w:r>
              <w:rPr>
                <w:rFonts w:ascii="仿宋_GB2312" w:eastAsia="仿宋_GB2312" w:cs="仿宋_GB2312"/>
              </w:rPr>
              <w:t>.</w:t>
            </w:r>
            <w:r>
              <w:rPr>
                <w:rFonts w:hint="eastAsia" w:ascii="仿宋_GB2312" w:hAnsi="宋体" w:eastAsia="仿宋_GB2312" w:cs="仿宋_GB2312"/>
              </w:rPr>
              <w:t>组织开展专业技能、管理技能等各类岗位竞赛活动。</w:t>
            </w:r>
            <w:r>
              <w:rPr>
                <w:rFonts w:ascii="仿宋_GB2312" w:hAnsi="宋体" w:eastAsia="仿宋_GB2312" w:cs="仿宋_GB2312"/>
              </w:rPr>
              <w:t xml:space="preserve"> </w:t>
            </w:r>
          </w:p>
          <w:p>
            <w:pPr>
              <w:spacing w:line="240" w:lineRule="exact"/>
              <w:ind w:left="210" w:hanging="210" w:hangingChars="100"/>
              <w:jc w:val="left"/>
              <w:rPr>
                <w:rFonts w:ascii="仿宋_GB2312" w:eastAsia="仿宋_GB2312"/>
              </w:rPr>
            </w:pPr>
            <w:r>
              <w:rPr>
                <w:rFonts w:ascii="仿宋_GB2312" w:hAnsi="宋体" w:eastAsia="仿宋_GB2312" w:cs="仿宋_GB2312"/>
              </w:rPr>
              <w:t>4</w:t>
            </w:r>
            <w:r>
              <w:rPr>
                <w:rFonts w:ascii="仿宋_GB2312" w:eastAsia="仿宋_GB2312" w:cs="仿宋_GB2312"/>
              </w:rPr>
              <w:t>.</w:t>
            </w:r>
            <w:r>
              <w:rPr>
                <w:rFonts w:hint="eastAsia" w:ascii="仿宋_GB2312" w:hAnsi="宋体" w:eastAsia="仿宋_GB2312" w:cs="仿宋_GB2312"/>
              </w:rPr>
              <w:t>完善激励机制，将职业技能、专业技术培训、学历提升、技能竞赛等结果与收入分配、职务晋升挂钩。</w:t>
            </w:r>
            <w:r>
              <w:rPr>
                <w:rFonts w:ascii="仿宋_GB2312" w:hAnsi="宋体" w:eastAsia="仿宋_GB2312" w:cs="仿宋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jc w:val="center"/>
        </w:trPr>
        <w:tc>
          <w:tcPr>
            <w:tcW w:w="724" w:type="dxa"/>
            <w:vMerge w:val="continue"/>
            <w:noWrap w:val="0"/>
            <w:vAlign w:val="center"/>
          </w:tcPr>
          <w:p>
            <w:pPr>
              <w:spacing w:line="200" w:lineRule="exact"/>
              <w:jc w:val="center"/>
              <w:rPr>
                <w:rFonts w:ascii="仿宋_GB2312" w:eastAsia="仿宋_GB2312"/>
                <w:b/>
                <w:bCs/>
              </w:rPr>
            </w:pPr>
          </w:p>
        </w:tc>
        <w:tc>
          <w:tcPr>
            <w:tcW w:w="2388" w:type="dxa"/>
            <w:noWrap w:val="0"/>
            <w:vAlign w:val="center"/>
          </w:tcPr>
          <w:p>
            <w:pPr>
              <w:spacing w:line="240" w:lineRule="exact"/>
              <w:jc w:val="center"/>
              <w:rPr>
                <w:rFonts w:ascii="仿宋_GB2312" w:eastAsia="仿宋_GB2312"/>
              </w:rPr>
            </w:pPr>
            <w:r>
              <w:rPr>
                <w:rFonts w:hint="eastAsia" w:ascii="仿宋_GB2312" w:hAnsi="宋体" w:eastAsia="仿宋_GB2312" w:cs="仿宋_GB2312"/>
              </w:rPr>
              <w:t>（十八）多层次的社会保障体系</w:t>
            </w:r>
          </w:p>
        </w:tc>
        <w:tc>
          <w:tcPr>
            <w:tcW w:w="11775" w:type="dxa"/>
            <w:noWrap w:val="0"/>
            <w:vAlign w:val="center"/>
          </w:tcPr>
          <w:p>
            <w:pPr>
              <w:spacing w:line="240" w:lineRule="exact"/>
              <w:ind w:firstLine="210" w:firstLineChars="100"/>
              <w:jc w:val="left"/>
              <w:rPr>
                <w:rFonts w:ascii="仿宋_GB2312" w:eastAsia="仿宋_GB2312"/>
              </w:rPr>
            </w:pPr>
            <w:r>
              <w:rPr>
                <w:rFonts w:hint="eastAsia" w:ascii="仿宋_GB2312" w:hAnsi="宋体" w:eastAsia="仿宋_GB2312" w:cs="仿宋_GB2312"/>
              </w:rPr>
              <w:t>发展建立多层次的社会保障体系，包括建立补充住房公积金、企业年金、补充医疗保险、困难职工帮扶、互助保障平台等方面情况。</w:t>
            </w:r>
            <w:r>
              <w:rPr>
                <w:rFonts w:ascii="仿宋_GB2312" w:hAnsi="宋体" w:eastAsia="仿宋_GB2312" w:cs="仿宋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6" w:hRule="atLeast"/>
          <w:jc w:val="center"/>
        </w:trPr>
        <w:tc>
          <w:tcPr>
            <w:tcW w:w="724" w:type="dxa"/>
            <w:noWrap w:val="0"/>
            <w:vAlign w:val="center"/>
          </w:tcPr>
          <w:p>
            <w:pPr>
              <w:spacing w:line="270" w:lineRule="exact"/>
              <w:jc w:val="center"/>
              <w:rPr>
                <w:rFonts w:ascii="仿宋_GB2312" w:eastAsia="仿宋_GB2312"/>
              </w:rPr>
            </w:pPr>
            <w:r>
              <w:rPr>
                <w:rFonts w:hint="eastAsia" w:ascii="仿宋_GB2312" w:hAnsi="宋体" w:eastAsia="仿宋_GB2312" w:cs="仿宋_GB2312"/>
                <w:b/>
                <w:bCs/>
              </w:rPr>
              <w:t>一票否决指标</w:t>
            </w:r>
          </w:p>
        </w:tc>
        <w:tc>
          <w:tcPr>
            <w:tcW w:w="14163" w:type="dxa"/>
            <w:gridSpan w:val="2"/>
            <w:noWrap w:val="0"/>
            <w:vAlign w:val="center"/>
          </w:tcPr>
          <w:p>
            <w:pPr>
              <w:pStyle w:val="6"/>
              <w:spacing w:before="0" w:beforeAutospacing="0" w:after="0" w:afterAutospacing="0" w:line="320" w:lineRule="exact"/>
              <w:ind w:firstLine="420" w:firstLineChars="200"/>
              <w:rPr>
                <w:rFonts w:ascii="仿宋_GB2312" w:eastAsia="仿宋_GB2312"/>
                <w:kern w:val="2"/>
                <w:sz w:val="21"/>
                <w:szCs w:val="21"/>
              </w:rPr>
            </w:pPr>
            <w:r>
              <w:rPr>
                <w:rFonts w:hint="eastAsia" w:ascii="仿宋_GB2312" w:eastAsia="仿宋_GB2312" w:cs="仿宋_GB2312"/>
                <w:kern w:val="2"/>
                <w:sz w:val="21"/>
                <w:szCs w:val="21"/>
              </w:rPr>
              <w:t>（一）发生过死亡</w:t>
            </w:r>
            <w:r>
              <w:rPr>
                <w:rFonts w:ascii="仿宋_GB2312" w:eastAsia="仿宋_GB2312" w:cs="仿宋_GB2312"/>
                <w:kern w:val="2"/>
                <w:sz w:val="21"/>
                <w:szCs w:val="21"/>
              </w:rPr>
              <w:t>1</w:t>
            </w:r>
            <w:r>
              <w:rPr>
                <w:rFonts w:hint="eastAsia" w:ascii="仿宋_GB2312" w:eastAsia="仿宋_GB2312" w:cs="仿宋_GB2312"/>
                <w:kern w:val="2"/>
                <w:sz w:val="21"/>
                <w:szCs w:val="21"/>
              </w:rPr>
              <w:t>人（含）以上或</w:t>
            </w:r>
            <w:r>
              <w:rPr>
                <w:rFonts w:ascii="仿宋_GB2312" w:eastAsia="仿宋_GB2312" w:cs="仿宋_GB2312"/>
                <w:kern w:val="2"/>
                <w:sz w:val="21"/>
                <w:szCs w:val="21"/>
              </w:rPr>
              <w:t>3</w:t>
            </w:r>
            <w:r>
              <w:rPr>
                <w:rFonts w:hint="eastAsia" w:ascii="仿宋_GB2312" w:eastAsia="仿宋_GB2312" w:cs="仿宋_GB2312"/>
                <w:kern w:val="2"/>
                <w:sz w:val="21"/>
                <w:szCs w:val="21"/>
              </w:rPr>
              <w:t>人（含）以上重伤或</w:t>
            </w:r>
            <w:r>
              <w:rPr>
                <w:rFonts w:ascii="仿宋_GB2312" w:eastAsia="仿宋_GB2312" w:cs="仿宋_GB2312"/>
                <w:kern w:val="2"/>
                <w:sz w:val="21"/>
                <w:szCs w:val="21"/>
              </w:rPr>
              <w:t>1000</w:t>
            </w:r>
            <w:r>
              <w:rPr>
                <w:rFonts w:hint="eastAsia" w:ascii="仿宋_GB2312" w:eastAsia="仿宋_GB2312" w:cs="仿宋_GB2312"/>
                <w:kern w:val="2"/>
                <w:sz w:val="21"/>
                <w:szCs w:val="21"/>
              </w:rPr>
              <w:t>万元（含）以上直接损失生产安全责任事故的；或职业中毒</w:t>
            </w:r>
            <w:r>
              <w:rPr>
                <w:rFonts w:ascii="仿宋_GB2312" w:eastAsia="仿宋_GB2312" w:cs="仿宋_GB2312"/>
                <w:kern w:val="2"/>
                <w:sz w:val="21"/>
                <w:szCs w:val="21"/>
              </w:rPr>
              <w:t>3</w:t>
            </w:r>
            <w:r>
              <w:rPr>
                <w:rFonts w:hint="eastAsia" w:ascii="仿宋_GB2312" w:eastAsia="仿宋_GB2312" w:cs="仿宋_GB2312"/>
                <w:kern w:val="2"/>
                <w:sz w:val="21"/>
                <w:szCs w:val="21"/>
              </w:rPr>
              <w:t>人（含）以上；或职业病</w:t>
            </w:r>
            <w:r>
              <w:rPr>
                <w:rFonts w:ascii="仿宋_GB2312" w:eastAsia="仿宋_GB2312" w:cs="仿宋_GB2312"/>
                <w:kern w:val="2"/>
                <w:sz w:val="21"/>
                <w:szCs w:val="21"/>
              </w:rPr>
              <w:t>1</w:t>
            </w:r>
            <w:r>
              <w:rPr>
                <w:rFonts w:hint="eastAsia" w:ascii="仿宋_GB2312" w:eastAsia="仿宋_GB2312" w:cs="仿宋_GB2312"/>
                <w:kern w:val="2"/>
                <w:sz w:val="21"/>
                <w:szCs w:val="21"/>
              </w:rPr>
              <w:t>人（含）以上的职业危害事故的。</w:t>
            </w:r>
          </w:p>
          <w:p>
            <w:pPr>
              <w:pStyle w:val="6"/>
              <w:spacing w:before="0" w:beforeAutospacing="0" w:after="0" w:afterAutospacing="0" w:line="320" w:lineRule="exact"/>
              <w:ind w:firstLine="420" w:firstLineChars="200"/>
              <w:rPr>
                <w:rFonts w:ascii="仿宋_GB2312" w:eastAsia="仿宋_GB2312"/>
                <w:kern w:val="2"/>
                <w:sz w:val="21"/>
                <w:szCs w:val="21"/>
              </w:rPr>
            </w:pPr>
            <w:r>
              <w:rPr>
                <w:rFonts w:hint="eastAsia" w:ascii="仿宋_GB2312" w:eastAsia="仿宋_GB2312" w:cs="仿宋_GB2312"/>
                <w:kern w:val="2"/>
                <w:sz w:val="21"/>
                <w:szCs w:val="21"/>
              </w:rPr>
              <w:t>（二）发生因企业责任导致的</w:t>
            </w:r>
            <w:r>
              <w:rPr>
                <w:rFonts w:ascii="仿宋_GB2312" w:eastAsia="仿宋_GB2312" w:cs="仿宋_GB2312"/>
                <w:kern w:val="2"/>
                <w:sz w:val="21"/>
                <w:szCs w:val="21"/>
              </w:rPr>
              <w:t>30</w:t>
            </w:r>
            <w:r>
              <w:rPr>
                <w:rFonts w:hint="eastAsia" w:ascii="仿宋_GB2312" w:eastAsia="仿宋_GB2312" w:cs="仿宋_GB2312"/>
                <w:kern w:val="2"/>
                <w:sz w:val="21"/>
                <w:szCs w:val="21"/>
              </w:rPr>
              <w:t>人（含）以上的游行、停工、围堵或到相关政府部门集体上访、聚集、请愿、静坐等群体性劳资纠纷的；或者不足</w:t>
            </w:r>
            <w:r>
              <w:rPr>
                <w:rFonts w:ascii="仿宋_GB2312" w:eastAsia="仿宋_GB2312" w:cs="仿宋_GB2312"/>
                <w:kern w:val="2"/>
                <w:sz w:val="21"/>
                <w:szCs w:val="21"/>
              </w:rPr>
              <w:t>30</w:t>
            </w:r>
            <w:r>
              <w:rPr>
                <w:rFonts w:hint="eastAsia" w:ascii="仿宋_GB2312" w:eastAsia="仿宋_GB2312" w:cs="仿宋_GB2312"/>
                <w:kern w:val="2"/>
                <w:sz w:val="21"/>
                <w:szCs w:val="21"/>
              </w:rPr>
              <w:t>人，有阻断交通、妨碍执法、聚众闹事、群体性械斗等影响社会秩序的过激行为，对社会造成较大影响事件的。</w:t>
            </w:r>
          </w:p>
          <w:p>
            <w:pPr>
              <w:pStyle w:val="6"/>
              <w:spacing w:before="0" w:beforeAutospacing="0" w:after="0" w:afterAutospacing="0" w:line="320" w:lineRule="exact"/>
              <w:ind w:firstLine="420" w:firstLineChars="200"/>
              <w:rPr>
                <w:rFonts w:ascii="仿宋_GB2312" w:eastAsia="仿宋_GB2312"/>
                <w:kern w:val="2"/>
                <w:sz w:val="21"/>
                <w:szCs w:val="21"/>
              </w:rPr>
            </w:pPr>
            <w:r>
              <w:rPr>
                <w:rFonts w:hint="eastAsia" w:ascii="仿宋_GB2312" w:eastAsia="仿宋_GB2312" w:cs="仿宋_GB2312"/>
                <w:kern w:val="2"/>
                <w:sz w:val="21"/>
                <w:szCs w:val="21"/>
              </w:rPr>
              <w:t>（三）存在以下重大违反劳动保障法律、法规或者规章行为，被劳动保障行政部门依法做出责令整改、行政处罚、行政处理的。</w:t>
            </w:r>
          </w:p>
          <w:p>
            <w:pPr>
              <w:pStyle w:val="6"/>
              <w:spacing w:before="0" w:beforeAutospacing="0" w:after="0" w:afterAutospacing="0" w:line="320" w:lineRule="exact"/>
              <w:ind w:firstLine="420" w:firstLineChars="200"/>
              <w:rPr>
                <w:rFonts w:ascii="仿宋_GB2312" w:eastAsia="仿宋_GB2312"/>
                <w:kern w:val="2"/>
                <w:sz w:val="21"/>
                <w:szCs w:val="21"/>
              </w:rPr>
            </w:pPr>
            <w:r>
              <w:rPr>
                <w:rFonts w:ascii="仿宋_GB2312" w:eastAsia="仿宋_GB2312" w:cs="仿宋_GB2312"/>
                <w:kern w:val="2"/>
                <w:sz w:val="21"/>
                <w:szCs w:val="21"/>
              </w:rPr>
              <w:t>1</w:t>
            </w:r>
            <w:r>
              <w:rPr>
                <w:rFonts w:hint="eastAsia" w:ascii="仿宋_GB2312" w:eastAsia="仿宋_GB2312" w:cs="仿宋_GB2312"/>
                <w:kern w:val="2"/>
                <w:sz w:val="21"/>
                <w:szCs w:val="21"/>
              </w:rPr>
              <w:t>．未依法及时足额支付劳动者劳动报酬、法定福利待遇的；</w:t>
            </w:r>
          </w:p>
          <w:p>
            <w:pPr>
              <w:pStyle w:val="6"/>
              <w:spacing w:before="0" w:beforeAutospacing="0" w:after="0" w:afterAutospacing="0" w:line="320" w:lineRule="exact"/>
              <w:ind w:firstLine="420" w:firstLineChars="200"/>
              <w:rPr>
                <w:rFonts w:ascii="仿宋_GB2312" w:eastAsia="仿宋_GB2312"/>
                <w:kern w:val="2"/>
                <w:sz w:val="21"/>
                <w:szCs w:val="21"/>
              </w:rPr>
            </w:pPr>
            <w:r>
              <w:rPr>
                <w:rFonts w:ascii="仿宋_GB2312" w:eastAsia="仿宋_GB2312" w:cs="仿宋_GB2312"/>
                <w:kern w:val="2"/>
                <w:sz w:val="21"/>
                <w:szCs w:val="21"/>
              </w:rPr>
              <w:t>2</w:t>
            </w:r>
            <w:r>
              <w:rPr>
                <w:rFonts w:hint="eastAsia" w:ascii="仿宋_GB2312" w:eastAsia="仿宋_GB2312" w:cs="仿宋_GB2312"/>
                <w:kern w:val="2"/>
                <w:sz w:val="21"/>
                <w:szCs w:val="21"/>
              </w:rPr>
              <w:t>．未依法及时到社会保险经办机构办理社会保险登记手续，未依法足额为劳动者缴纳社会保险费的；或者发生过冒领或骗取社保基金案件的；</w:t>
            </w:r>
          </w:p>
          <w:p>
            <w:pPr>
              <w:pStyle w:val="6"/>
              <w:spacing w:before="0" w:beforeAutospacing="0" w:after="0" w:afterAutospacing="0" w:line="320" w:lineRule="exact"/>
              <w:ind w:firstLine="420" w:firstLineChars="200"/>
              <w:rPr>
                <w:rFonts w:ascii="仿宋_GB2312" w:eastAsia="仿宋_GB2312"/>
                <w:kern w:val="2"/>
                <w:sz w:val="21"/>
                <w:szCs w:val="21"/>
              </w:rPr>
            </w:pPr>
            <w:r>
              <w:rPr>
                <w:rFonts w:ascii="仿宋_GB2312" w:eastAsia="仿宋_GB2312" w:cs="仿宋_GB2312"/>
                <w:kern w:val="2"/>
                <w:sz w:val="21"/>
                <w:szCs w:val="21"/>
              </w:rPr>
              <w:t>3</w:t>
            </w:r>
            <w:r>
              <w:rPr>
                <w:rFonts w:hint="eastAsia" w:ascii="仿宋_GB2312" w:eastAsia="仿宋_GB2312" w:cs="仿宋_GB2312"/>
                <w:kern w:val="2"/>
                <w:sz w:val="21"/>
                <w:szCs w:val="21"/>
              </w:rPr>
              <w:t>．违反国家休息休假规定，强迫劳动者加班或加班时间超过法定标准的，及未经劳动行政部门审批实行特殊工时制度的；</w:t>
            </w:r>
          </w:p>
          <w:p>
            <w:pPr>
              <w:pStyle w:val="6"/>
              <w:spacing w:before="0" w:beforeAutospacing="0" w:after="0" w:afterAutospacing="0" w:line="320" w:lineRule="exact"/>
              <w:ind w:firstLine="420" w:firstLineChars="200"/>
              <w:rPr>
                <w:rFonts w:ascii="仿宋_GB2312" w:eastAsia="仿宋_GB2312"/>
                <w:kern w:val="2"/>
                <w:sz w:val="21"/>
                <w:szCs w:val="21"/>
              </w:rPr>
            </w:pPr>
            <w:r>
              <w:rPr>
                <w:rFonts w:ascii="仿宋_GB2312" w:eastAsia="仿宋_GB2312" w:cs="仿宋_GB2312"/>
                <w:kern w:val="2"/>
                <w:sz w:val="21"/>
                <w:szCs w:val="21"/>
              </w:rPr>
              <w:t>4</w:t>
            </w:r>
            <w:r>
              <w:rPr>
                <w:rFonts w:hint="eastAsia" w:ascii="仿宋_GB2312" w:eastAsia="仿宋_GB2312" w:cs="仿宋_GB2312"/>
                <w:kern w:val="2"/>
                <w:sz w:val="21"/>
                <w:szCs w:val="21"/>
              </w:rPr>
              <w:t>．未依法与劳动者签订书面劳动合同，或者在劳动合同签订、履行、续订、变更、解除或终止过程中存在违法情形侵害劳动者合法权益的；</w:t>
            </w:r>
          </w:p>
          <w:p>
            <w:pPr>
              <w:pStyle w:val="6"/>
              <w:spacing w:before="0" w:beforeAutospacing="0" w:after="0" w:afterAutospacing="0" w:line="320" w:lineRule="exact"/>
              <w:ind w:firstLine="420" w:firstLineChars="200"/>
              <w:rPr>
                <w:rFonts w:ascii="仿宋_GB2312" w:eastAsia="仿宋_GB2312" w:cs="仿宋_GB2312"/>
                <w:kern w:val="2"/>
                <w:sz w:val="21"/>
                <w:szCs w:val="21"/>
              </w:rPr>
            </w:pPr>
            <w:r>
              <w:rPr>
                <w:rFonts w:ascii="仿宋_GB2312" w:eastAsia="仿宋_GB2312" w:cs="仿宋_GB2312"/>
                <w:kern w:val="2"/>
                <w:sz w:val="21"/>
                <w:szCs w:val="21"/>
              </w:rPr>
              <w:t>5</w:t>
            </w:r>
            <w:r>
              <w:rPr>
                <w:rFonts w:hint="eastAsia" w:ascii="仿宋_GB2312" w:eastAsia="仿宋_GB2312" w:cs="仿宋_GB2312"/>
                <w:kern w:val="2"/>
                <w:sz w:val="21"/>
                <w:szCs w:val="21"/>
              </w:rPr>
              <w:t>．未依法向劳动者提供劳动保护、劳动卫生和职业危害防护等行为的；</w:t>
            </w:r>
            <w:r>
              <w:rPr>
                <w:rFonts w:ascii="仿宋_GB2312" w:eastAsia="仿宋_GB2312" w:cs="仿宋_GB2312"/>
                <w:kern w:val="2"/>
                <w:sz w:val="21"/>
                <w:szCs w:val="21"/>
              </w:rPr>
              <w:t xml:space="preserve"> </w:t>
            </w:r>
          </w:p>
          <w:p>
            <w:pPr>
              <w:pStyle w:val="6"/>
              <w:spacing w:before="0" w:beforeAutospacing="0" w:after="0" w:afterAutospacing="0" w:line="320" w:lineRule="exact"/>
              <w:ind w:firstLine="420" w:firstLineChars="200"/>
              <w:rPr>
                <w:rFonts w:ascii="仿宋_GB2312" w:eastAsia="仿宋_GB2312"/>
                <w:kern w:val="2"/>
                <w:sz w:val="21"/>
                <w:szCs w:val="21"/>
              </w:rPr>
            </w:pPr>
            <w:r>
              <w:rPr>
                <w:rFonts w:ascii="仿宋_GB2312" w:eastAsia="仿宋_GB2312" w:cs="仿宋_GB2312"/>
                <w:kern w:val="2"/>
                <w:sz w:val="21"/>
                <w:szCs w:val="21"/>
              </w:rPr>
              <w:t>6</w:t>
            </w:r>
            <w:r>
              <w:rPr>
                <w:rFonts w:hint="eastAsia" w:ascii="仿宋_GB2312" w:eastAsia="仿宋_GB2312" w:cs="仿宋_GB2312"/>
                <w:kern w:val="2"/>
                <w:sz w:val="21"/>
                <w:szCs w:val="21"/>
              </w:rPr>
              <w:t>．违反遵守禁止使用童工规定、女职工和未成年工特殊劳动保护规定的；</w:t>
            </w:r>
          </w:p>
          <w:p>
            <w:pPr>
              <w:pStyle w:val="6"/>
              <w:spacing w:before="0" w:beforeAutospacing="0" w:after="0" w:afterAutospacing="0" w:line="320" w:lineRule="exact"/>
              <w:ind w:firstLine="420" w:firstLineChars="200"/>
              <w:rPr>
                <w:rFonts w:ascii="仿宋_GB2312" w:eastAsia="仿宋_GB2312"/>
              </w:rPr>
            </w:pPr>
            <w:r>
              <w:rPr>
                <w:rFonts w:ascii="仿宋_GB2312" w:eastAsia="仿宋_GB2312" w:cs="仿宋_GB2312"/>
                <w:kern w:val="2"/>
                <w:sz w:val="21"/>
                <w:szCs w:val="21"/>
              </w:rPr>
              <w:t>7</w:t>
            </w:r>
            <w:r>
              <w:rPr>
                <w:rFonts w:hint="eastAsia" w:ascii="仿宋_GB2312" w:eastAsia="仿宋_GB2312" w:cs="仿宋_GB2312"/>
                <w:kern w:val="2"/>
                <w:sz w:val="21"/>
                <w:szCs w:val="21"/>
              </w:rPr>
              <w:t>．其他出现严重违反劳动保障法律、法规或者规章规定的情形。</w:t>
            </w:r>
          </w:p>
        </w:tc>
      </w:tr>
    </w:tbl>
    <w:p>
      <w:pPr>
        <w:spacing w:line="600" w:lineRule="exact"/>
        <w:jc w:val="left"/>
        <w:rPr>
          <w:rFonts w:eastAsia="仿宋_GB2312"/>
          <w:sz w:val="32"/>
          <w:szCs w:val="32"/>
        </w:rPr>
      </w:pPr>
    </w:p>
    <w:p>
      <w:pPr>
        <w:spacing w:line="600" w:lineRule="exact"/>
        <w:jc w:val="left"/>
        <w:rPr>
          <w:rFonts w:hint="eastAsia" w:ascii="黑体" w:hAnsi="仿宋" w:eastAsia="黑体" w:cs="黑体"/>
          <w:sz w:val="32"/>
          <w:szCs w:val="32"/>
        </w:rPr>
      </w:pPr>
    </w:p>
    <w:p>
      <w:pPr>
        <w:pStyle w:val="4"/>
        <w:widowControl/>
        <w:ind w:left="-525" w:leftChars="-250"/>
        <w:jc w:val="center"/>
        <w:rPr>
          <w:rFonts w:ascii="宋体"/>
          <w:sz w:val="21"/>
          <w:szCs w:val="21"/>
        </w:rPr>
      </w:pPr>
    </w:p>
    <w:sectPr>
      <w:footerReference r:id="rId6" w:type="default"/>
      <w:pgSz w:w="17008" w:h="11906" w:orient="landscape"/>
      <w:pgMar w:top="567" w:right="567" w:bottom="567" w:left="567"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 w:name="@仿宋_GB2312">
    <w:panose1 w:val="02010609030101010101"/>
    <w:charset w:val="86"/>
    <w:family w:val="auto"/>
    <w:pitch w:val="fixed"/>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6 -</w:t>
    </w:r>
    <w:r>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11 -</w:t>
    </w:r>
    <w:r>
      <w:rPr>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172A27"/>
    <w:rsid w:val="00000062"/>
    <w:rsid w:val="0000127E"/>
    <w:rsid w:val="0000164B"/>
    <w:rsid w:val="00003BDD"/>
    <w:rsid w:val="00007DE3"/>
    <w:rsid w:val="000127B8"/>
    <w:rsid w:val="00013FD7"/>
    <w:rsid w:val="00023BB7"/>
    <w:rsid w:val="00027E4C"/>
    <w:rsid w:val="00042935"/>
    <w:rsid w:val="00042DB7"/>
    <w:rsid w:val="000522E4"/>
    <w:rsid w:val="000540BB"/>
    <w:rsid w:val="000542CB"/>
    <w:rsid w:val="00064389"/>
    <w:rsid w:val="00065258"/>
    <w:rsid w:val="00065D77"/>
    <w:rsid w:val="0006651A"/>
    <w:rsid w:val="000721B6"/>
    <w:rsid w:val="00073FE4"/>
    <w:rsid w:val="0007470B"/>
    <w:rsid w:val="00074A94"/>
    <w:rsid w:val="00076083"/>
    <w:rsid w:val="00086326"/>
    <w:rsid w:val="00091F66"/>
    <w:rsid w:val="00093596"/>
    <w:rsid w:val="00093F5F"/>
    <w:rsid w:val="00095C83"/>
    <w:rsid w:val="000A3F19"/>
    <w:rsid w:val="000A438C"/>
    <w:rsid w:val="000A5E20"/>
    <w:rsid w:val="000A6D0A"/>
    <w:rsid w:val="000B5927"/>
    <w:rsid w:val="000C29C9"/>
    <w:rsid w:val="000C3D7C"/>
    <w:rsid w:val="000C5DAC"/>
    <w:rsid w:val="000D0046"/>
    <w:rsid w:val="000D0F4A"/>
    <w:rsid w:val="000D2BDF"/>
    <w:rsid w:val="000D2EE0"/>
    <w:rsid w:val="000D3386"/>
    <w:rsid w:val="000E60C0"/>
    <w:rsid w:val="000F5458"/>
    <w:rsid w:val="000F728A"/>
    <w:rsid w:val="0010042F"/>
    <w:rsid w:val="00100B18"/>
    <w:rsid w:val="00102B50"/>
    <w:rsid w:val="00103001"/>
    <w:rsid w:val="0010364C"/>
    <w:rsid w:val="00105DB5"/>
    <w:rsid w:val="0011335B"/>
    <w:rsid w:val="00116BB1"/>
    <w:rsid w:val="00121981"/>
    <w:rsid w:val="00126379"/>
    <w:rsid w:val="00126D4C"/>
    <w:rsid w:val="001273F7"/>
    <w:rsid w:val="001360D3"/>
    <w:rsid w:val="00145A3C"/>
    <w:rsid w:val="00151D44"/>
    <w:rsid w:val="0015490E"/>
    <w:rsid w:val="00165554"/>
    <w:rsid w:val="00172A25"/>
    <w:rsid w:val="00172A27"/>
    <w:rsid w:val="001812FB"/>
    <w:rsid w:val="00181BB2"/>
    <w:rsid w:val="00181DF6"/>
    <w:rsid w:val="0019326D"/>
    <w:rsid w:val="001944DE"/>
    <w:rsid w:val="001A531E"/>
    <w:rsid w:val="001A7E38"/>
    <w:rsid w:val="001B0615"/>
    <w:rsid w:val="001B1CE9"/>
    <w:rsid w:val="001B5C27"/>
    <w:rsid w:val="001C1ED4"/>
    <w:rsid w:val="001C4A64"/>
    <w:rsid w:val="001C7617"/>
    <w:rsid w:val="001D45AE"/>
    <w:rsid w:val="001D769A"/>
    <w:rsid w:val="001E2786"/>
    <w:rsid w:val="001E2FFA"/>
    <w:rsid w:val="001E3CE9"/>
    <w:rsid w:val="001E3FCA"/>
    <w:rsid w:val="001E7180"/>
    <w:rsid w:val="001F14B6"/>
    <w:rsid w:val="001F1C51"/>
    <w:rsid w:val="001F59DA"/>
    <w:rsid w:val="00203DA8"/>
    <w:rsid w:val="002040B3"/>
    <w:rsid w:val="00204F50"/>
    <w:rsid w:val="0021033D"/>
    <w:rsid w:val="002131F8"/>
    <w:rsid w:val="00215608"/>
    <w:rsid w:val="00217194"/>
    <w:rsid w:val="00222550"/>
    <w:rsid w:val="002255C6"/>
    <w:rsid w:val="0022707C"/>
    <w:rsid w:val="00230287"/>
    <w:rsid w:val="002305C6"/>
    <w:rsid w:val="00231892"/>
    <w:rsid w:val="00231C81"/>
    <w:rsid w:val="0023555A"/>
    <w:rsid w:val="0024399E"/>
    <w:rsid w:val="002443E1"/>
    <w:rsid w:val="00245B1A"/>
    <w:rsid w:val="00262696"/>
    <w:rsid w:val="00266A7B"/>
    <w:rsid w:val="002723D2"/>
    <w:rsid w:val="00273679"/>
    <w:rsid w:val="00275323"/>
    <w:rsid w:val="0027633C"/>
    <w:rsid w:val="002779FE"/>
    <w:rsid w:val="002926E4"/>
    <w:rsid w:val="002933D4"/>
    <w:rsid w:val="002948E0"/>
    <w:rsid w:val="002952BA"/>
    <w:rsid w:val="002A2C74"/>
    <w:rsid w:val="002A38D8"/>
    <w:rsid w:val="002A4063"/>
    <w:rsid w:val="002A49CE"/>
    <w:rsid w:val="002B7DB7"/>
    <w:rsid w:val="002C26F8"/>
    <w:rsid w:val="002C40A3"/>
    <w:rsid w:val="002D3071"/>
    <w:rsid w:val="002D661E"/>
    <w:rsid w:val="002E0E40"/>
    <w:rsid w:val="002E1017"/>
    <w:rsid w:val="002E3F40"/>
    <w:rsid w:val="002F3416"/>
    <w:rsid w:val="0031478B"/>
    <w:rsid w:val="00315395"/>
    <w:rsid w:val="00322FEE"/>
    <w:rsid w:val="00324AB3"/>
    <w:rsid w:val="00325744"/>
    <w:rsid w:val="00331BBC"/>
    <w:rsid w:val="0033609D"/>
    <w:rsid w:val="00336815"/>
    <w:rsid w:val="00346794"/>
    <w:rsid w:val="003602AE"/>
    <w:rsid w:val="00360B7C"/>
    <w:rsid w:val="00363E51"/>
    <w:rsid w:val="00363ECA"/>
    <w:rsid w:val="00364AF4"/>
    <w:rsid w:val="00376956"/>
    <w:rsid w:val="003811B4"/>
    <w:rsid w:val="003817B9"/>
    <w:rsid w:val="0038297B"/>
    <w:rsid w:val="003907EB"/>
    <w:rsid w:val="00392DAF"/>
    <w:rsid w:val="0039400C"/>
    <w:rsid w:val="00394D49"/>
    <w:rsid w:val="003A03A3"/>
    <w:rsid w:val="003A6E9C"/>
    <w:rsid w:val="003A79D7"/>
    <w:rsid w:val="003A7E1A"/>
    <w:rsid w:val="003B41B0"/>
    <w:rsid w:val="003B5FC2"/>
    <w:rsid w:val="003B6008"/>
    <w:rsid w:val="003C0828"/>
    <w:rsid w:val="003C1C8F"/>
    <w:rsid w:val="003C4213"/>
    <w:rsid w:val="003C763C"/>
    <w:rsid w:val="003D2694"/>
    <w:rsid w:val="003D46B1"/>
    <w:rsid w:val="003E2FA6"/>
    <w:rsid w:val="003F1825"/>
    <w:rsid w:val="003F33C8"/>
    <w:rsid w:val="003F3958"/>
    <w:rsid w:val="004023F6"/>
    <w:rsid w:val="0040295E"/>
    <w:rsid w:val="00403059"/>
    <w:rsid w:val="00404CFE"/>
    <w:rsid w:val="00406791"/>
    <w:rsid w:val="00407B1D"/>
    <w:rsid w:val="00410C80"/>
    <w:rsid w:val="0042537B"/>
    <w:rsid w:val="00425509"/>
    <w:rsid w:val="00426C6E"/>
    <w:rsid w:val="00431DF9"/>
    <w:rsid w:val="00432BD5"/>
    <w:rsid w:val="004347ED"/>
    <w:rsid w:val="004445DB"/>
    <w:rsid w:val="00447D27"/>
    <w:rsid w:val="00457679"/>
    <w:rsid w:val="00460FA4"/>
    <w:rsid w:val="00465C85"/>
    <w:rsid w:val="004674F7"/>
    <w:rsid w:val="00472EB0"/>
    <w:rsid w:val="004816F4"/>
    <w:rsid w:val="004903F0"/>
    <w:rsid w:val="00494C19"/>
    <w:rsid w:val="004A04F7"/>
    <w:rsid w:val="004A3666"/>
    <w:rsid w:val="004A5FDC"/>
    <w:rsid w:val="004B307C"/>
    <w:rsid w:val="004B3DA6"/>
    <w:rsid w:val="004B5E50"/>
    <w:rsid w:val="004B64E6"/>
    <w:rsid w:val="004C7A05"/>
    <w:rsid w:val="004D0F13"/>
    <w:rsid w:val="004D4B44"/>
    <w:rsid w:val="004D67B6"/>
    <w:rsid w:val="004D6A76"/>
    <w:rsid w:val="004D6D3E"/>
    <w:rsid w:val="004D7F5A"/>
    <w:rsid w:val="004E3E18"/>
    <w:rsid w:val="004E4DBB"/>
    <w:rsid w:val="004F02C6"/>
    <w:rsid w:val="004F1BB2"/>
    <w:rsid w:val="004F6E18"/>
    <w:rsid w:val="004F7C48"/>
    <w:rsid w:val="00505271"/>
    <w:rsid w:val="00506664"/>
    <w:rsid w:val="00507AAF"/>
    <w:rsid w:val="00513562"/>
    <w:rsid w:val="00516E72"/>
    <w:rsid w:val="00517FD1"/>
    <w:rsid w:val="0052016E"/>
    <w:rsid w:val="00526EC0"/>
    <w:rsid w:val="0053372E"/>
    <w:rsid w:val="00534344"/>
    <w:rsid w:val="00536588"/>
    <w:rsid w:val="00537347"/>
    <w:rsid w:val="0053737D"/>
    <w:rsid w:val="00541CB1"/>
    <w:rsid w:val="005436FD"/>
    <w:rsid w:val="00546283"/>
    <w:rsid w:val="00547194"/>
    <w:rsid w:val="00552F38"/>
    <w:rsid w:val="00555556"/>
    <w:rsid w:val="00561A26"/>
    <w:rsid w:val="005629FD"/>
    <w:rsid w:val="005659D9"/>
    <w:rsid w:val="005713CD"/>
    <w:rsid w:val="005774B5"/>
    <w:rsid w:val="00577965"/>
    <w:rsid w:val="0058037F"/>
    <w:rsid w:val="00582325"/>
    <w:rsid w:val="00584F86"/>
    <w:rsid w:val="005853B8"/>
    <w:rsid w:val="005901A7"/>
    <w:rsid w:val="00591034"/>
    <w:rsid w:val="005917C4"/>
    <w:rsid w:val="0059280D"/>
    <w:rsid w:val="005944B6"/>
    <w:rsid w:val="00597D40"/>
    <w:rsid w:val="005A65C0"/>
    <w:rsid w:val="005A6810"/>
    <w:rsid w:val="005B0857"/>
    <w:rsid w:val="005B6E67"/>
    <w:rsid w:val="005C1192"/>
    <w:rsid w:val="005C4AF5"/>
    <w:rsid w:val="005C4C11"/>
    <w:rsid w:val="005C6EF2"/>
    <w:rsid w:val="005D594A"/>
    <w:rsid w:val="005D7302"/>
    <w:rsid w:val="005E555F"/>
    <w:rsid w:val="005F1EC9"/>
    <w:rsid w:val="005F7819"/>
    <w:rsid w:val="00602A79"/>
    <w:rsid w:val="006042B1"/>
    <w:rsid w:val="0060698C"/>
    <w:rsid w:val="00607F9E"/>
    <w:rsid w:val="006109E8"/>
    <w:rsid w:val="00617678"/>
    <w:rsid w:val="006204CF"/>
    <w:rsid w:val="00620F79"/>
    <w:rsid w:val="00622788"/>
    <w:rsid w:val="00624B65"/>
    <w:rsid w:val="006303CB"/>
    <w:rsid w:val="006320D5"/>
    <w:rsid w:val="00633E1A"/>
    <w:rsid w:val="006347AE"/>
    <w:rsid w:val="00634F17"/>
    <w:rsid w:val="006425E3"/>
    <w:rsid w:val="00643649"/>
    <w:rsid w:val="00647536"/>
    <w:rsid w:val="00650707"/>
    <w:rsid w:val="00651C95"/>
    <w:rsid w:val="006530AF"/>
    <w:rsid w:val="00663F02"/>
    <w:rsid w:val="00665ADC"/>
    <w:rsid w:val="0066613A"/>
    <w:rsid w:val="006664B7"/>
    <w:rsid w:val="00672466"/>
    <w:rsid w:val="0068080F"/>
    <w:rsid w:val="006A5CBA"/>
    <w:rsid w:val="006B007D"/>
    <w:rsid w:val="006B0350"/>
    <w:rsid w:val="006C37BC"/>
    <w:rsid w:val="006C79F9"/>
    <w:rsid w:val="006D594A"/>
    <w:rsid w:val="006D5B7E"/>
    <w:rsid w:val="006E1B31"/>
    <w:rsid w:val="006E264B"/>
    <w:rsid w:val="006E3CF9"/>
    <w:rsid w:val="006E4C53"/>
    <w:rsid w:val="006E6ABF"/>
    <w:rsid w:val="006F2423"/>
    <w:rsid w:val="006F34EC"/>
    <w:rsid w:val="006F5C5F"/>
    <w:rsid w:val="0070424A"/>
    <w:rsid w:val="007076E2"/>
    <w:rsid w:val="00707DA4"/>
    <w:rsid w:val="00710475"/>
    <w:rsid w:val="00711C56"/>
    <w:rsid w:val="007125D9"/>
    <w:rsid w:val="0071310E"/>
    <w:rsid w:val="00722016"/>
    <w:rsid w:val="00722812"/>
    <w:rsid w:val="00725BFD"/>
    <w:rsid w:val="00730769"/>
    <w:rsid w:val="00732D2C"/>
    <w:rsid w:val="00736B28"/>
    <w:rsid w:val="00736D29"/>
    <w:rsid w:val="007447E8"/>
    <w:rsid w:val="00752B93"/>
    <w:rsid w:val="00754965"/>
    <w:rsid w:val="00757C57"/>
    <w:rsid w:val="00760316"/>
    <w:rsid w:val="007629F4"/>
    <w:rsid w:val="007868E7"/>
    <w:rsid w:val="00787FFE"/>
    <w:rsid w:val="007A0EA8"/>
    <w:rsid w:val="007A1959"/>
    <w:rsid w:val="007A20A5"/>
    <w:rsid w:val="007A3981"/>
    <w:rsid w:val="007A6323"/>
    <w:rsid w:val="007D6CBA"/>
    <w:rsid w:val="007D770F"/>
    <w:rsid w:val="007E6E81"/>
    <w:rsid w:val="007E7387"/>
    <w:rsid w:val="00800961"/>
    <w:rsid w:val="00804933"/>
    <w:rsid w:val="00804B5F"/>
    <w:rsid w:val="00806F90"/>
    <w:rsid w:val="00810F14"/>
    <w:rsid w:val="008147F5"/>
    <w:rsid w:val="008201B5"/>
    <w:rsid w:val="0082025F"/>
    <w:rsid w:val="0082113B"/>
    <w:rsid w:val="00825655"/>
    <w:rsid w:val="00825E0D"/>
    <w:rsid w:val="00832EBD"/>
    <w:rsid w:val="00854845"/>
    <w:rsid w:val="00857D92"/>
    <w:rsid w:val="00864186"/>
    <w:rsid w:val="0086648F"/>
    <w:rsid w:val="00875C05"/>
    <w:rsid w:val="00876E06"/>
    <w:rsid w:val="008777BB"/>
    <w:rsid w:val="0088171C"/>
    <w:rsid w:val="00886CE3"/>
    <w:rsid w:val="0089024B"/>
    <w:rsid w:val="008A3784"/>
    <w:rsid w:val="008A609E"/>
    <w:rsid w:val="008A67E7"/>
    <w:rsid w:val="008A7EC4"/>
    <w:rsid w:val="008B0531"/>
    <w:rsid w:val="008B36DF"/>
    <w:rsid w:val="008B3C8C"/>
    <w:rsid w:val="008B448D"/>
    <w:rsid w:val="008B4B2A"/>
    <w:rsid w:val="008B5157"/>
    <w:rsid w:val="008C19EF"/>
    <w:rsid w:val="008C1F59"/>
    <w:rsid w:val="008C4A9A"/>
    <w:rsid w:val="008C7B42"/>
    <w:rsid w:val="008D0630"/>
    <w:rsid w:val="008D0898"/>
    <w:rsid w:val="008D1824"/>
    <w:rsid w:val="008D3F6E"/>
    <w:rsid w:val="008E118A"/>
    <w:rsid w:val="008E2C6D"/>
    <w:rsid w:val="008E34F5"/>
    <w:rsid w:val="008E7327"/>
    <w:rsid w:val="008F28B5"/>
    <w:rsid w:val="00900196"/>
    <w:rsid w:val="00901E16"/>
    <w:rsid w:val="009079CB"/>
    <w:rsid w:val="00907FD1"/>
    <w:rsid w:val="00911DBA"/>
    <w:rsid w:val="0091207B"/>
    <w:rsid w:val="00915DDB"/>
    <w:rsid w:val="00920E45"/>
    <w:rsid w:val="0092161F"/>
    <w:rsid w:val="00925107"/>
    <w:rsid w:val="0092583E"/>
    <w:rsid w:val="00930F2E"/>
    <w:rsid w:val="0093101D"/>
    <w:rsid w:val="009341AB"/>
    <w:rsid w:val="0094306F"/>
    <w:rsid w:val="00944145"/>
    <w:rsid w:val="00947743"/>
    <w:rsid w:val="00950074"/>
    <w:rsid w:val="009505D1"/>
    <w:rsid w:val="00952F83"/>
    <w:rsid w:val="00963418"/>
    <w:rsid w:val="00963DAC"/>
    <w:rsid w:val="0097127B"/>
    <w:rsid w:val="00972405"/>
    <w:rsid w:val="00972DFD"/>
    <w:rsid w:val="0097380B"/>
    <w:rsid w:val="00977986"/>
    <w:rsid w:val="009804A2"/>
    <w:rsid w:val="009816F4"/>
    <w:rsid w:val="00981865"/>
    <w:rsid w:val="00982DE2"/>
    <w:rsid w:val="00983CAE"/>
    <w:rsid w:val="00984C93"/>
    <w:rsid w:val="00985B93"/>
    <w:rsid w:val="00990184"/>
    <w:rsid w:val="00994563"/>
    <w:rsid w:val="009A1115"/>
    <w:rsid w:val="009B682D"/>
    <w:rsid w:val="009B7C7C"/>
    <w:rsid w:val="009C4FD2"/>
    <w:rsid w:val="009C554E"/>
    <w:rsid w:val="009C7798"/>
    <w:rsid w:val="009D659C"/>
    <w:rsid w:val="009D7901"/>
    <w:rsid w:val="009D7EAF"/>
    <w:rsid w:val="009E3677"/>
    <w:rsid w:val="009E39D2"/>
    <w:rsid w:val="009E5133"/>
    <w:rsid w:val="009E7382"/>
    <w:rsid w:val="009F3E07"/>
    <w:rsid w:val="009F532D"/>
    <w:rsid w:val="009F603F"/>
    <w:rsid w:val="00A107E9"/>
    <w:rsid w:val="00A11380"/>
    <w:rsid w:val="00A16F28"/>
    <w:rsid w:val="00A200FD"/>
    <w:rsid w:val="00A220DC"/>
    <w:rsid w:val="00A277AB"/>
    <w:rsid w:val="00A3056C"/>
    <w:rsid w:val="00A31441"/>
    <w:rsid w:val="00A32C34"/>
    <w:rsid w:val="00A33AEB"/>
    <w:rsid w:val="00A347C7"/>
    <w:rsid w:val="00A349EF"/>
    <w:rsid w:val="00A420BF"/>
    <w:rsid w:val="00A42326"/>
    <w:rsid w:val="00A4745E"/>
    <w:rsid w:val="00A510A4"/>
    <w:rsid w:val="00A5157D"/>
    <w:rsid w:val="00A562E8"/>
    <w:rsid w:val="00A6260E"/>
    <w:rsid w:val="00A653BB"/>
    <w:rsid w:val="00A73F17"/>
    <w:rsid w:val="00A748E1"/>
    <w:rsid w:val="00A75B50"/>
    <w:rsid w:val="00A76790"/>
    <w:rsid w:val="00A8151C"/>
    <w:rsid w:val="00A867CD"/>
    <w:rsid w:val="00A86D1A"/>
    <w:rsid w:val="00A879ED"/>
    <w:rsid w:val="00A912BF"/>
    <w:rsid w:val="00A942C6"/>
    <w:rsid w:val="00A94534"/>
    <w:rsid w:val="00A95846"/>
    <w:rsid w:val="00AA2C47"/>
    <w:rsid w:val="00AB5D0C"/>
    <w:rsid w:val="00AB7928"/>
    <w:rsid w:val="00AB7FBA"/>
    <w:rsid w:val="00AC30ED"/>
    <w:rsid w:val="00AC394B"/>
    <w:rsid w:val="00AC3A6C"/>
    <w:rsid w:val="00AC535F"/>
    <w:rsid w:val="00AC64F4"/>
    <w:rsid w:val="00AD2446"/>
    <w:rsid w:val="00AD3FDF"/>
    <w:rsid w:val="00AD712D"/>
    <w:rsid w:val="00AE0CE6"/>
    <w:rsid w:val="00AF1313"/>
    <w:rsid w:val="00AF6E90"/>
    <w:rsid w:val="00B05CD5"/>
    <w:rsid w:val="00B05E7D"/>
    <w:rsid w:val="00B14205"/>
    <w:rsid w:val="00B146D9"/>
    <w:rsid w:val="00B14E3B"/>
    <w:rsid w:val="00B16140"/>
    <w:rsid w:val="00B213B6"/>
    <w:rsid w:val="00B34303"/>
    <w:rsid w:val="00B37F71"/>
    <w:rsid w:val="00B41D9C"/>
    <w:rsid w:val="00B459A1"/>
    <w:rsid w:val="00B53297"/>
    <w:rsid w:val="00B56E75"/>
    <w:rsid w:val="00B61C67"/>
    <w:rsid w:val="00B674F5"/>
    <w:rsid w:val="00B7001A"/>
    <w:rsid w:val="00B70E43"/>
    <w:rsid w:val="00B73D45"/>
    <w:rsid w:val="00B7549F"/>
    <w:rsid w:val="00B82870"/>
    <w:rsid w:val="00B87B04"/>
    <w:rsid w:val="00B94B46"/>
    <w:rsid w:val="00B95808"/>
    <w:rsid w:val="00BA0A94"/>
    <w:rsid w:val="00BA1215"/>
    <w:rsid w:val="00BA1376"/>
    <w:rsid w:val="00BA2990"/>
    <w:rsid w:val="00BA4276"/>
    <w:rsid w:val="00BA636F"/>
    <w:rsid w:val="00BB0ADE"/>
    <w:rsid w:val="00BB2430"/>
    <w:rsid w:val="00BB7EC2"/>
    <w:rsid w:val="00BC4715"/>
    <w:rsid w:val="00BC5084"/>
    <w:rsid w:val="00BD2E0C"/>
    <w:rsid w:val="00BD3D27"/>
    <w:rsid w:val="00BE00FE"/>
    <w:rsid w:val="00C0254E"/>
    <w:rsid w:val="00C07B77"/>
    <w:rsid w:val="00C11133"/>
    <w:rsid w:val="00C176E6"/>
    <w:rsid w:val="00C303BB"/>
    <w:rsid w:val="00C31C41"/>
    <w:rsid w:val="00C34C7E"/>
    <w:rsid w:val="00C34D84"/>
    <w:rsid w:val="00C37E60"/>
    <w:rsid w:val="00C403EF"/>
    <w:rsid w:val="00C45461"/>
    <w:rsid w:val="00C45AB8"/>
    <w:rsid w:val="00C5322C"/>
    <w:rsid w:val="00C5418F"/>
    <w:rsid w:val="00C623F9"/>
    <w:rsid w:val="00C64411"/>
    <w:rsid w:val="00C6683A"/>
    <w:rsid w:val="00C67A8E"/>
    <w:rsid w:val="00C67D40"/>
    <w:rsid w:val="00C7058B"/>
    <w:rsid w:val="00C74552"/>
    <w:rsid w:val="00C7778B"/>
    <w:rsid w:val="00C8551C"/>
    <w:rsid w:val="00C857FA"/>
    <w:rsid w:val="00C87881"/>
    <w:rsid w:val="00C95F2F"/>
    <w:rsid w:val="00CA2549"/>
    <w:rsid w:val="00CA2555"/>
    <w:rsid w:val="00CA26D8"/>
    <w:rsid w:val="00CB358B"/>
    <w:rsid w:val="00CB3EBA"/>
    <w:rsid w:val="00CC3CC2"/>
    <w:rsid w:val="00CC56B5"/>
    <w:rsid w:val="00CC6261"/>
    <w:rsid w:val="00CD0E66"/>
    <w:rsid w:val="00CD10B8"/>
    <w:rsid w:val="00CD3C9C"/>
    <w:rsid w:val="00CD66DC"/>
    <w:rsid w:val="00CD7385"/>
    <w:rsid w:val="00CF0CDF"/>
    <w:rsid w:val="00CF14D3"/>
    <w:rsid w:val="00D052F3"/>
    <w:rsid w:val="00D05D0D"/>
    <w:rsid w:val="00D07128"/>
    <w:rsid w:val="00D20DFC"/>
    <w:rsid w:val="00D2649D"/>
    <w:rsid w:val="00D319B6"/>
    <w:rsid w:val="00D441D1"/>
    <w:rsid w:val="00D57EF3"/>
    <w:rsid w:val="00D6093F"/>
    <w:rsid w:val="00D646AB"/>
    <w:rsid w:val="00D74FD1"/>
    <w:rsid w:val="00D75C22"/>
    <w:rsid w:val="00D7752C"/>
    <w:rsid w:val="00D83D3D"/>
    <w:rsid w:val="00D83E96"/>
    <w:rsid w:val="00D8513F"/>
    <w:rsid w:val="00D85A66"/>
    <w:rsid w:val="00D87DAD"/>
    <w:rsid w:val="00DA73DB"/>
    <w:rsid w:val="00DB1B0B"/>
    <w:rsid w:val="00DB6360"/>
    <w:rsid w:val="00DB639A"/>
    <w:rsid w:val="00DC2A22"/>
    <w:rsid w:val="00DC3003"/>
    <w:rsid w:val="00DC747E"/>
    <w:rsid w:val="00DD3C28"/>
    <w:rsid w:val="00DD47A7"/>
    <w:rsid w:val="00DD6CF9"/>
    <w:rsid w:val="00DE1473"/>
    <w:rsid w:val="00DE159B"/>
    <w:rsid w:val="00DE2BEB"/>
    <w:rsid w:val="00DE2FC9"/>
    <w:rsid w:val="00DE7313"/>
    <w:rsid w:val="00DF4D76"/>
    <w:rsid w:val="00DF5DAE"/>
    <w:rsid w:val="00E029FF"/>
    <w:rsid w:val="00E113C9"/>
    <w:rsid w:val="00E11B64"/>
    <w:rsid w:val="00E12E4A"/>
    <w:rsid w:val="00E15A12"/>
    <w:rsid w:val="00E207A5"/>
    <w:rsid w:val="00E216D2"/>
    <w:rsid w:val="00E2189D"/>
    <w:rsid w:val="00E21E7A"/>
    <w:rsid w:val="00E23086"/>
    <w:rsid w:val="00E23D5B"/>
    <w:rsid w:val="00E43414"/>
    <w:rsid w:val="00E46547"/>
    <w:rsid w:val="00E50DEF"/>
    <w:rsid w:val="00E523CD"/>
    <w:rsid w:val="00E57FEA"/>
    <w:rsid w:val="00E62B21"/>
    <w:rsid w:val="00E6480A"/>
    <w:rsid w:val="00E66F7A"/>
    <w:rsid w:val="00E71016"/>
    <w:rsid w:val="00E77A0A"/>
    <w:rsid w:val="00E80AEE"/>
    <w:rsid w:val="00E82163"/>
    <w:rsid w:val="00E904E6"/>
    <w:rsid w:val="00E9084F"/>
    <w:rsid w:val="00E928B7"/>
    <w:rsid w:val="00EA198B"/>
    <w:rsid w:val="00EA3657"/>
    <w:rsid w:val="00EA3E79"/>
    <w:rsid w:val="00EA44AA"/>
    <w:rsid w:val="00EB0075"/>
    <w:rsid w:val="00EB100E"/>
    <w:rsid w:val="00EB3F75"/>
    <w:rsid w:val="00EB7674"/>
    <w:rsid w:val="00EC22F6"/>
    <w:rsid w:val="00ED00DE"/>
    <w:rsid w:val="00ED4A82"/>
    <w:rsid w:val="00ED7956"/>
    <w:rsid w:val="00EE1B84"/>
    <w:rsid w:val="00EE36CD"/>
    <w:rsid w:val="00EE3A16"/>
    <w:rsid w:val="00EE6707"/>
    <w:rsid w:val="00EE6A6B"/>
    <w:rsid w:val="00EF6A87"/>
    <w:rsid w:val="00EF7A8C"/>
    <w:rsid w:val="00EF7BF7"/>
    <w:rsid w:val="00F0314A"/>
    <w:rsid w:val="00F0422D"/>
    <w:rsid w:val="00F12DEA"/>
    <w:rsid w:val="00F1365E"/>
    <w:rsid w:val="00F20502"/>
    <w:rsid w:val="00F32266"/>
    <w:rsid w:val="00F37B79"/>
    <w:rsid w:val="00F41DEF"/>
    <w:rsid w:val="00F45802"/>
    <w:rsid w:val="00F46C9B"/>
    <w:rsid w:val="00F56D3D"/>
    <w:rsid w:val="00F608CB"/>
    <w:rsid w:val="00F60C04"/>
    <w:rsid w:val="00F644A8"/>
    <w:rsid w:val="00F70AD4"/>
    <w:rsid w:val="00F71ACF"/>
    <w:rsid w:val="00F73FB0"/>
    <w:rsid w:val="00F80149"/>
    <w:rsid w:val="00F81B70"/>
    <w:rsid w:val="00F83208"/>
    <w:rsid w:val="00F867A8"/>
    <w:rsid w:val="00F8779C"/>
    <w:rsid w:val="00F94CB8"/>
    <w:rsid w:val="00F96951"/>
    <w:rsid w:val="00FA5B8E"/>
    <w:rsid w:val="00FB12BF"/>
    <w:rsid w:val="00FB2BFA"/>
    <w:rsid w:val="00FC5F04"/>
    <w:rsid w:val="00FD10C0"/>
    <w:rsid w:val="00FD1383"/>
    <w:rsid w:val="00FD4D08"/>
    <w:rsid w:val="00FD4DB0"/>
    <w:rsid w:val="00FD4F70"/>
    <w:rsid w:val="00FD60F2"/>
    <w:rsid w:val="00FD6E64"/>
    <w:rsid w:val="00FE2C36"/>
    <w:rsid w:val="00FE44F2"/>
    <w:rsid w:val="00FE6C52"/>
    <w:rsid w:val="00FE7908"/>
    <w:rsid w:val="00FF3909"/>
    <w:rsid w:val="00FF3DA0"/>
    <w:rsid w:val="00FF59B9"/>
    <w:rsid w:val="00FF6670"/>
    <w:rsid w:val="010C6406"/>
    <w:rsid w:val="012825AB"/>
    <w:rsid w:val="019D5996"/>
    <w:rsid w:val="02043E9F"/>
    <w:rsid w:val="02273C13"/>
    <w:rsid w:val="023637F0"/>
    <w:rsid w:val="02575FD7"/>
    <w:rsid w:val="028B64B2"/>
    <w:rsid w:val="02987854"/>
    <w:rsid w:val="02A05813"/>
    <w:rsid w:val="02CC2C54"/>
    <w:rsid w:val="02E4448A"/>
    <w:rsid w:val="02E8031B"/>
    <w:rsid w:val="02F02B67"/>
    <w:rsid w:val="02F87945"/>
    <w:rsid w:val="032B5024"/>
    <w:rsid w:val="033C2640"/>
    <w:rsid w:val="03515B66"/>
    <w:rsid w:val="03663B29"/>
    <w:rsid w:val="03673E69"/>
    <w:rsid w:val="036C3C26"/>
    <w:rsid w:val="03875FC0"/>
    <w:rsid w:val="039A1597"/>
    <w:rsid w:val="03B0256B"/>
    <w:rsid w:val="03BF04BB"/>
    <w:rsid w:val="03D45C7A"/>
    <w:rsid w:val="03FC44E8"/>
    <w:rsid w:val="040D6E03"/>
    <w:rsid w:val="04136763"/>
    <w:rsid w:val="0419406E"/>
    <w:rsid w:val="043070B0"/>
    <w:rsid w:val="04335829"/>
    <w:rsid w:val="046F2BDD"/>
    <w:rsid w:val="048232AB"/>
    <w:rsid w:val="04BF345B"/>
    <w:rsid w:val="04C05B76"/>
    <w:rsid w:val="04DB5A63"/>
    <w:rsid w:val="053449C9"/>
    <w:rsid w:val="053630D9"/>
    <w:rsid w:val="05397BAA"/>
    <w:rsid w:val="053C3A24"/>
    <w:rsid w:val="054C6A73"/>
    <w:rsid w:val="056256CC"/>
    <w:rsid w:val="056D2179"/>
    <w:rsid w:val="05A75201"/>
    <w:rsid w:val="05A9511A"/>
    <w:rsid w:val="05C66F89"/>
    <w:rsid w:val="05CE6D23"/>
    <w:rsid w:val="05D32240"/>
    <w:rsid w:val="05E2753B"/>
    <w:rsid w:val="06097AF7"/>
    <w:rsid w:val="06100BA2"/>
    <w:rsid w:val="06122C20"/>
    <w:rsid w:val="06157B07"/>
    <w:rsid w:val="0647219C"/>
    <w:rsid w:val="065A225B"/>
    <w:rsid w:val="067419F5"/>
    <w:rsid w:val="06827CDF"/>
    <w:rsid w:val="06A32AE0"/>
    <w:rsid w:val="06A930C1"/>
    <w:rsid w:val="06AF4A85"/>
    <w:rsid w:val="06B84D10"/>
    <w:rsid w:val="06D95373"/>
    <w:rsid w:val="06EE420D"/>
    <w:rsid w:val="06EF2C2B"/>
    <w:rsid w:val="0710595E"/>
    <w:rsid w:val="074A5B42"/>
    <w:rsid w:val="074F4F8A"/>
    <w:rsid w:val="076F76F3"/>
    <w:rsid w:val="077E6470"/>
    <w:rsid w:val="07980E01"/>
    <w:rsid w:val="07A411C3"/>
    <w:rsid w:val="07B76920"/>
    <w:rsid w:val="07C7724C"/>
    <w:rsid w:val="07E3016B"/>
    <w:rsid w:val="07EB2F23"/>
    <w:rsid w:val="07F868CE"/>
    <w:rsid w:val="07F97EAB"/>
    <w:rsid w:val="07FC1127"/>
    <w:rsid w:val="07FD33DF"/>
    <w:rsid w:val="08085EA5"/>
    <w:rsid w:val="080B229B"/>
    <w:rsid w:val="081978FF"/>
    <w:rsid w:val="081A14EA"/>
    <w:rsid w:val="08387D7B"/>
    <w:rsid w:val="0839578F"/>
    <w:rsid w:val="08562AAB"/>
    <w:rsid w:val="085D082E"/>
    <w:rsid w:val="08625B1C"/>
    <w:rsid w:val="08672703"/>
    <w:rsid w:val="08701ECB"/>
    <w:rsid w:val="08704236"/>
    <w:rsid w:val="08791E9C"/>
    <w:rsid w:val="087E35FD"/>
    <w:rsid w:val="088237A7"/>
    <w:rsid w:val="08B2797A"/>
    <w:rsid w:val="08C941DB"/>
    <w:rsid w:val="08ED45FB"/>
    <w:rsid w:val="09034AC6"/>
    <w:rsid w:val="09125B93"/>
    <w:rsid w:val="092C6CEF"/>
    <w:rsid w:val="0944758F"/>
    <w:rsid w:val="095363C7"/>
    <w:rsid w:val="096D527B"/>
    <w:rsid w:val="09907817"/>
    <w:rsid w:val="09B937DB"/>
    <w:rsid w:val="09BB0130"/>
    <w:rsid w:val="09CB19C6"/>
    <w:rsid w:val="09F85AB2"/>
    <w:rsid w:val="0A355D31"/>
    <w:rsid w:val="0A4A1475"/>
    <w:rsid w:val="0A6A67ED"/>
    <w:rsid w:val="0AB23EE9"/>
    <w:rsid w:val="0ABF2755"/>
    <w:rsid w:val="0AE93ABF"/>
    <w:rsid w:val="0AF55054"/>
    <w:rsid w:val="0B0A0457"/>
    <w:rsid w:val="0B0C581E"/>
    <w:rsid w:val="0B1F09C5"/>
    <w:rsid w:val="0B207400"/>
    <w:rsid w:val="0B3D7523"/>
    <w:rsid w:val="0B5E34C9"/>
    <w:rsid w:val="0B6B29E2"/>
    <w:rsid w:val="0B771D72"/>
    <w:rsid w:val="0B8F459E"/>
    <w:rsid w:val="0B9B054D"/>
    <w:rsid w:val="0B9E18B6"/>
    <w:rsid w:val="0BC71D33"/>
    <w:rsid w:val="0BF35B2D"/>
    <w:rsid w:val="0BFA7294"/>
    <w:rsid w:val="0BFC150D"/>
    <w:rsid w:val="0C0D7AC7"/>
    <w:rsid w:val="0C211D2C"/>
    <w:rsid w:val="0C6C6762"/>
    <w:rsid w:val="0C7815DF"/>
    <w:rsid w:val="0C8C669A"/>
    <w:rsid w:val="0C97750F"/>
    <w:rsid w:val="0CB9720E"/>
    <w:rsid w:val="0CCD5765"/>
    <w:rsid w:val="0CDB2737"/>
    <w:rsid w:val="0CEB31FB"/>
    <w:rsid w:val="0CEC1D1B"/>
    <w:rsid w:val="0CFE1397"/>
    <w:rsid w:val="0D242878"/>
    <w:rsid w:val="0D251F9A"/>
    <w:rsid w:val="0D3C02D2"/>
    <w:rsid w:val="0D722120"/>
    <w:rsid w:val="0D7D5609"/>
    <w:rsid w:val="0D8467AF"/>
    <w:rsid w:val="0D891AF7"/>
    <w:rsid w:val="0DB25485"/>
    <w:rsid w:val="0DC856FE"/>
    <w:rsid w:val="0DCD5561"/>
    <w:rsid w:val="0E060DCD"/>
    <w:rsid w:val="0E0809D2"/>
    <w:rsid w:val="0E572ADB"/>
    <w:rsid w:val="0E581F55"/>
    <w:rsid w:val="0E613D51"/>
    <w:rsid w:val="0E633AC9"/>
    <w:rsid w:val="0E66204A"/>
    <w:rsid w:val="0E751094"/>
    <w:rsid w:val="0E7935AE"/>
    <w:rsid w:val="0E8F2F86"/>
    <w:rsid w:val="0E8F564D"/>
    <w:rsid w:val="0E9F304A"/>
    <w:rsid w:val="0EA3332B"/>
    <w:rsid w:val="0ECD0DF0"/>
    <w:rsid w:val="0ED73CBC"/>
    <w:rsid w:val="0EDB477E"/>
    <w:rsid w:val="0EFF3D71"/>
    <w:rsid w:val="0F097E50"/>
    <w:rsid w:val="0F1D32BF"/>
    <w:rsid w:val="0F3D0E33"/>
    <w:rsid w:val="0F964532"/>
    <w:rsid w:val="0FA83399"/>
    <w:rsid w:val="0FDD615D"/>
    <w:rsid w:val="103432BB"/>
    <w:rsid w:val="10463D75"/>
    <w:rsid w:val="10570A41"/>
    <w:rsid w:val="10770F29"/>
    <w:rsid w:val="1082223A"/>
    <w:rsid w:val="10864AAB"/>
    <w:rsid w:val="108B78B0"/>
    <w:rsid w:val="109169A0"/>
    <w:rsid w:val="10C81B1A"/>
    <w:rsid w:val="10CC3A74"/>
    <w:rsid w:val="10D53FDD"/>
    <w:rsid w:val="10F628BF"/>
    <w:rsid w:val="110F1BF1"/>
    <w:rsid w:val="112B19F7"/>
    <w:rsid w:val="113D24F4"/>
    <w:rsid w:val="114E2A44"/>
    <w:rsid w:val="115C70A6"/>
    <w:rsid w:val="118C6255"/>
    <w:rsid w:val="11957F3E"/>
    <w:rsid w:val="119D6011"/>
    <w:rsid w:val="11A46B3D"/>
    <w:rsid w:val="11CE4D6C"/>
    <w:rsid w:val="11D36426"/>
    <w:rsid w:val="11D609A6"/>
    <w:rsid w:val="11D97280"/>
    <w:rsid w:val="11F5313A"/>
    <w:rsid w:val="12021D70"/>
    <w:rsid w:val="123C0CD8"/>
    <w:rsid w:val="12653A82"/>
    <w:rsid w:val="127033A5"/>
    <w:rsid w:val="129C58E4"/>
    <w:rsid w:val="12B0351B"/>
    <w:rsid w:val="12B655FC"/>
    <w:rsid w:val="12C640C5"/>
    <w:rsid w:val="12D02C25"/>
    <w:rsid w:val="12D03222"/>
    <w:rsid w:val="12E666DE"/>
    <w:rsid w:val="12F763F0"/>
    <w:rsid w:val="1301491A"/>
    <w:rsid w:val="1341644B"/>
    <w:rsid w:val="13431402"/>
    <w:rsid w:val="1363594E"/>
    <w:rsid w:val="139D09E6"/>
    <w:rsid w:val="13B96F69"/>
    <w:rsid w:val="13C91845"/>
    <w:rsid w:val="13D2300D"/>
    <w:rsid w:val="13DC6806"/>
    <w:rsid w:val="13E6092B"/>
    <w:rsid w:val="13E81F13"/>
    <w:rsid w:val="13E97F88"/>
    <w:rsid w:val="13F66196"/>
    <w:rsid w:val="13FD3152"/>
    <w:rsid w:val="140B5534"/>
    <w:rsid w:val="1412083D"/>
    <w:rsid w:val="141331E3"/>
    <w:rsid w:val="143854BF"/>
    <w:rsid w:val="14465910"/>
    <w:rsid w:val="14535B47"/>
    <w:rsid w:val="145D797D"/>
    <w:rsid w:val="146D37B2"/>
    <w:rsid w:val="14797D04"/>
    <w:rsid w:val="147D7C6D"/>
    <w:rsid w:val="147E3A0E"/>
    <w:rsid w:val="147F49AD"/>
    <w:rsid w:val="1495052B"/>
    <w:rsid w:val="14BC6E44"/>
    <w:rsid w:val="14DC01FA"/>
    <w:rsid w:val="14E56EB3"/>
    <w:rsid w:val="14EA5E43"/>
    <w:rsid w:val="14ED60AD"/>
    <w:rsid w:val="14F33599"/>
    <w:rsid w:val="151C15A3"/>
    <w:rsid w:val="155000A6"/>
    <w:rsid w:val="155F002B"/>
    <w:rsid w:val="156C5107"/>
    <w:rsid w:val="156E3811"/>
    <w:rsid w:val="157E104A"/>
    <w:rsid w:val="15814ACA"/>
    <w:rsid w:val="15816DAB"/>
    <w:rsid w:val="15960CA8"/>
    <w:rsid w:val="15AA3ED3"/>
    <w:rsid w:val="15B84AFA"/>
    <w:rsid w:val="15C3301E"/>
    <w:rsid w:val="15D936DE"/>
    <w:rsid w:val="160D2801"/>
    <w:rsid w:val="1611701E"/>
    <w:rsid w:val="16136CD1"/>
    <w:rsid w:val="163A249A"/>
    <w:rsid w:val="163E1523"/>
    <w:rsid w:val="16702B14"/>
    <w:rsid w:val="169C1510"/>
    <w:rsid w:val="16B35733"/>
    <w:rsid w:val="16BE6A06"/>
    <w:rsid w:val="16D94707"/>
    <w:rsid w:val="16DF7693"/>
    <w:rsid w:val="16E1587A"/>
    <w:rsid w:val="16E53951"/>
    <w:rsid w:val="170A2CD9"/>
    <w:rsid w:val="17355C66"/>
    <w:rsid w:val="174D0174"/>
    <w:rsid w:val="176038CC"/>
    <w:rsid w:val="176C36D3"/>
    <w:rsid w:val="179114DC"/>
    <w:rsid w:val="17CC781A"/>
    <w:rsid w:val="17D46467"/>
    <w:rsid w:val="17DA345E"/>
    <w:rsid w:val="1818290E"/>
    <w:rsid w:val="18276253"/>
    <w:rsid w:val="183075E1"/>
    <w:rsid w:val="18464D80"/>
    <w:rsid w:val="188073F4"/>
    <w:rsid w:val="18A42D16"/>
    <w:rsid w:val="18AD6925"/>
    <w:rsid w:val="18B72DB6"/>
    <w:rsid w:val="18F50D54"/>
    <w:rsid w:val="18FE5A29"/>
    <w:rsid w:val="190351FD"/>
    <w:rsid w:val="190E0F37"/>
    <w:rsid w:val="190E2826"/>
    <w:rsid w:val="1924600C"/>
    <w:rsid w:val="193F6A79"/>
    <w:rsid w:val="19585FCE"/>
    <w:rsid w:val="199B6A5B"/>
    <w:rsid w:val="199E76E1"/>
    <w:rsid w:val="19B0300A"/>
    <w:rsid w:val="19BE6791"/>
    <w:rsid w:val="19CC2AB5"/>
    <w:rsid w:val="19DD5567"/>
    <w:rsid w:val="19ED34B1"/>
    <w:rsid w:val="19F111C6"/>
    <w:rsid w:val="1A02627E"/>
    <w:rsid w:val="1A165779"/>
    <w:rsid w:val="1A2C2BCF"/>
    <w:rsid w:val="1A342098"/>
    <w:rsid w:val="1A4955BA"/>
    <w:rsid w:val="1A54303D"/>
    <w:rsid w:val="1A763541"/>
    <w:rsid w:val="1A854C73"/>
    <w:rsid w:val="1A8F072B"/>
    <w:rsid w:val="1A9214C8"/>
    <w:rsid w:val="1AAC52EC"/>
    <w:rsid w:val="1AAC725F"/>
    <w:rsid w:val="1AAD74A5"/>
    <w:rsid w:val="1AC41E19"/>
    <w:rsid w:val="1ACD5B46"/>
    <w:rsid w:val="1AE6248B"/>
    <w:rsid w:val="1AEA51B8"/>
    <w:rsid w:val="1B3237CD"/>
    <w:rsid w:val="1B3E0073"/>
    <w:rsid w:val="1B516901"/>
    <w:rsid w:val="1B5252F6"/>
    <w:rsid w:val="1B6252F6"/>
    <w:rsid w:val="1B665DA7"/>
    <w:rsid w:val="1BAD190C"/>
    <w:rsid w:val="1BB22367"/>
    <w:rsid w:val="1BC12888"/>
    <w:rsid w:val="1BCD47AC"/>
    <w:rsid w:val="1BD351D3"/>
    <w:rsid w:val="1BF61FF2"/>
    <w:rsid w:val="1BF67A37"/>
    <w:rsid w:val="1C0C1F1E"/>
    <w:rsid w:val="1C4077BD"/>
    <w:rsid w:val="1C790DC6"/>
    <w:rsid w:val="1CE2431C"/>
    <w:rsid w:val="1D2846E7"/>
    <w:rsid w:val="1D4E32C2"/>
    <w:rsid w:val="1D556B48"/>
    <w:rsid w:val="1D600A4E"/>
    <w:rsid w:val="1D617DC0"/>
    <w:rsid w:val="1D6206CE"/>
    <w:rsid w:val="1D666DBC"/>
    <w:rsid w:val="1D713E16"/>
    <w:rsid w:val="1DB66F39"/>
    <w:rsid w:val="1DC83645"/>
    <w:rsid w:val="1E036907"/>
    <w:rsid w:val="1E0A57BD"/>
    <w:rsid w:val="1E0F77AC"/>
    <w:rsid w:val="1E311B1A"/>
    <w:rsid w:val="1E3757CA"/>
    <w:rsid w:val="1E3D2495"/>
    <w:rsid w:val="1E440696"/>
    <w:rsid w:val="1E470CD5"/>
    <w:rsid w:val="1E5707BE"/>
    <w:rsid w:val="1E5C69CB"/>
    <w:rsid w:val="1E752AE3"/>
    <w:rsid w:val="1E7A4DA2"/>
    <w:rsid w:val="1E837ABE"/>
    <w:rsid w:val="1E907F7F"/>
    <w:rsid w:val="1E9667FF"/>
    <w:rsid w:val="1E9D7677"/>
    <w:rsid w:val="1EA54F82"/>
    <w:rsid w:val="1EA61204"/>
    <w:rsid w:val="1EB16B24"/>
    <w:rsid w:val="1EB92950"/>
    <w:rsid w:val="1EEF240A"/>
    <w:rsid w:val="1EFD6598"/>
    <w:rsid w:val="1F0A4916"/>
    <w:rsid w:val="1F1C11E4"/>
    <w:rsid w:val="1F26663B"/>
    <w:rsid w:val="1F2F55F5"/>
    <w:rsid w:val="1F690399"/>
    <w:rsid w:val="1F715079"/>
    <w:rsid w:val="1FA24E77"/>
    <w:rsid w:val="1FAC73E8"/>
    <w:rsid w:val="1FC34183"/>
    <w:rsid w:val="1FCC3EDB"/>
    <w:rsid w:val="1FF7461D"/>
    <w:rsid w:val="20121F92"/>
    <w:rsid w:val="202A5ADB"/>
    <w:rsid w:val="20464AAB"/>
    <w:rsid w:val="205F09DE"/>
    <w:rsid w:val="207B0254"/>
    <w:rsid w:val="209406A3"/>
    <w:rsid w:val="20A57F40"/>
    <w:rsid w:val="20C15F99"/>
    <w:rsid w:val="20CC2CE0"/>
    <w:rsid w:val="20EF7A78"/>
    <w:rsid w:val="21255A5C"/>
    <w:rsid w:val="212C7DB1"/>
    <w:rsid w:val="214F0CCA"/>
    <w:rsid w:val="214F3548"/>
    <w:rsid w:val="21516C18"/>
    <w:rsid w:val="21650F1A"/>
    <w:rsid w:val="216F239F"/>
    <w:rsid w:val="2183131C"/>
    <w:rsid w:val="21CA58DC"/>
    <w:rsid w:val="21E2733A"/>
    <w:rsid w:val="221B78B7"/>
    <w:rsid w:val="2249571C"/>
    <w:rsid w:val="225675F8"/>
    <w:rsid w:val="22591464"/>
    <w:rsid w:val="229E7E44"/>
    <w:rsid w:val="22E53B79"/>
    <w:rsid w:val="22FC5B3F"/>
    <w:rsid w:val="23355E85"/>
    <w:rsid w:val="23433CE1"/>
    <w:rsid w:val="23491B43"/>
    <w:rsid w:val="23525CB8"/>
    <w:rsid w:val="235373BE"/>
    <w:rsid w:val="23565842"/>
    <w:rsid w:val="236F77AD"/>
    <w:rsid w:val="238C32C8"/>
    <w:rsid w:val="23976F9D"/>
    <w:rsid w:val="23A04A17"/>
    <w:rsid w:val="23E210A4"/>
    <w:rsid w:val="23FB6481"/>
    <w:rsid w:val="23FC3753"/>
    <w:rsid w:val="242642DB"/>
    <w:rsid w:val="24634621"/>
    <w:rsid w:val="24883B67"/>
    <w:rsid w:val="24B21C6F"/>
    <w:rsid w:val="24BC1AC3"/>
    <w:rsid w:val="24FB633B"/>
    <w:rsid w:val="25087A0A"/>
    <w:rsid w:val="251D0D03"/>
    <w:rsid w:val="252A1E6D"/>
    <w:rsid w:val="253B3E85"/>
    <w:rsid w:val="254A4035"/>
    <w:rsid w:val="255864EB"/>
    <w:rsid w:val="255E7DF4"/>
    <w:rsid w:val="25686FB2"/>
    <w:rsid w:val="256B430D"/>
    <w:rsid w:val="25925C2E"/>
    <w:rsid w:val="25981551"/>
    <w:rsid w:val="259C5457"/>
    <w:rsid w:val="25A948A1"/>
    <w:rsid w:val="25EB3924"/>
    <w:rsid w:val="260658A6"/>
    <w:rsid w:val="262C0764"/>
    <w:rsid w:val="262C0BAC"/>
    <w:rsid w:val="26353047"/>
    <w:rsid w:val="26375124"/>
    <w:rsid w:val="264148BB"/>
    <w:rsid w:val="264C6980"/>
    <w:rsid w:val="2651288F"/>
    <w:rsid w:val="26592EA6"/>
    <w:rsid w:val="26637072"/>
    <w:rsid w:val="2664482F"/>
    <w:rsid w:val="267131CA"/>
    <w:rsid w:val="26751ABF"/>
    <w:rsid w:val="269A215A"/>
    <w:rsid w:val="26B27A38"/>
    <w:rsid w:val="26BE444F"/>
    <w:rsid w:val="26C636F9"/>
    <w:rsid w:val="26DD79F6"/>
    <w:rsid w:val="26E32E15"/>
    <w:rsid w:val="27136880"/>
    <w:rsid w:val="27162109"/>
    <w:rsid w:val="271645DB"/>
    <w:rsid w:val="27171C33"/>
    <w:rsid w:val="27193F93"/>
    <w:rsid w:val="273435AC"/>
    <w:rsid w:val="27427B73"/>
    <w:rsid w:val="27553BC5"/>
    <w:rsid w:val="2766276E"/>
    <w:rsid w:val="277B5148"/>
    <w:rsid w:val="27B53850"/>
    <w:rsid w:val="27C12860"/>
    <w:rsid w:val="27D82EF5"/>
    <w:rsid w:val="27FE1E57"/>
    <w:rsid w:val="28136E4F"/>
    <w:rsid w:val="28340A6D"/>
    <w:rsid w:val="2857519E"/>
    <w:rsid w:val="286A7AF2"/>
    <w:rsid w:val="28857215"/>
    <w:rsid w:val="28946310"/>
    <w:rsid w:val="28C04737"/>
    <w:rsid w:val="28DB0D77"/>
    <w:rsid w:val="28E10E65"/>
    <w:rsid w:val="28EB4409"/>
    <w:rsid w:val="2955523D"/>
    <w:rsid w:val="296D5862"/>
    <w:rsid w:val="29893408"/>
    <w:rsid w:val="29B56A5C"/>
    <w:rsid w:val="29C0070D"/>
    <w:rsid w:val="29CB7EE1"/>
    <w:rsid w:val="29D27FAF"/>
    <w:rsid w:val="29DA0B86"/>
    <w:rsid w:val="29DE1BE0"/>
    <w:rsid w:val="29F40F79"/>
    <w:rsid w:val="2A172575"/>
    <w:rsid w:val="2A302E87"/>
    <w:rsid w:val="2A354604"/>
    <w:rsid w:val="2A4C11E6"/>
    <w:rsid w:val="2A52398F"/>
    <w:rsid w:val="2A571A78"/>
    <w:rsid w:val="2A632A20"/>
    <w:rsid w:val="2A864428"/>
    <w:rsid w:val="2AA404EA"/>
    <w:rsid w:val="2AA929A6"/>
    <w:rsid w:val="2AB9788F"/>
    <w:rsid w:val="2AC70E33"/>
    <w:rsid w:val="2AD36311"/>
    <w:rsid w:val="2AEF26DF"/>
    <w:rsid w:val="2AFC3ED0"/>
    <w:rsid w:val="2B6851F2"/>
    <w:rsid w:val="2B6B7DC7"/>
    <w:rsid w:val="2B7A3AB6"/>
    <w:rsid w:val="2B7B6270"/>
    <w:rsid w:val="2B844539"/>
    <w:rsid w:val="2B9358B4"/>
    <w:rsid w:val="2BA17A1C"/>
    <w:rsid w:val="2BBF0EAE"/>
    <w:rsid w:val="2BCB0E2B"/>
    <w:rsid w:val="2BDD11D2"/>
    <w:rsid w:val="2C024E1C"/>
    <w:rsid w:val="2C1A4A51"/>
    <w:rsid w:val="2C3D0560"/>
    <w:rsid w:val="2C4E09BF"/>
    <w:rsid w:val="2C7C2313"/>
    <w:rsid w:val="2C951B26"/>
    <w:rsid w:val="2C9F0466"/>
    <w:rsid w:val="2CA32E2C"/>
    <w:rsid w:val="2CB033D6"/>
    <w:rsid w:val="2CB56794"/>
    <w:rsid w:val="2CC01AFD"/>
    <w:rsid w:val="2CC344E3"/>
    <w:rsid w:val="2CEF014B"/>
    <w:rsid w:val="2CF32FE6"/>
    <w:rsid w:val="2D0A6825"/>
    <w:rsid w:val="2D2F306C"/>
    <w:rsid w:val="2D391DE7"/>
    <w:rsid w:val="2D5A0BBE"/>
    <w:rsid w:val="2D674052"/>
    <w:rsid w:val="2D6E20BC"/>
    <w:rsid w:val="2D703E49"/>
    <w:rsid w:val="2D8229F8"/>
    <w:rsid w:val="2D903A31"/>
    <w:rsid w:val="2DCD18C1"/>
    <w:rsid w:val="2DEE526C"/>
    <w:rsid w:val="2DF258BE"/>
    <w:rsid w:val="2DFF7C5B"/>
    <w:rsid w:val="2E094AE6"/>
    <w:rsid w:val="2E3D441B"/>
    <w:rsid w:val="2E4F0E88"/>
    <w:rsid w:val="2E5C3B5D"/>
    <w:rsid w:val="2E5E7525"/>
    <w:rsid w:val="2E9B7912"/>
    <w:rsid w:val="2EB96658"/>
    <w:rsid w:val="2EDD1019"/>
    <w:rsid w:val="2EEC7908"/>
    <w:rsid w:val="2EED1B96"/>
    <w:rsid w:val="2EF331E0"/>
    <w:rsid w:val="2EFC3FF2"/>
    <w:rsid w:val="2F0D2540"/>
    <w:rsid w:val="2F51530A"/>
    <w:rsid w:val="2F6A2C98"/>
    <w:rsid w:val="2F6E775F"/>
    <w:rsid w:val="2F712828"/>
    <w:rsid w:val="2F771FE6"/>
    <w:rsid w:val="2F784F40"/>
    <w:rsid w:val="2FC2706F"/>
    <w:rsid w:val="2FE015A5"/>
    <w:rsid w:val="300D7956"/>
    <w:rsid w:val="301221BD"/>
    <w:rsid w:val="3017204B"/>
    <w:rsid w:val="30220F79"/>
    <w:rsid w:val="302D637E"/>
    <w:rsid w:val="30476630"/>
    <w:rsid w:val="30806439"/>
    <w:rsid w:val="30871DAD"/>
    <w:rsid w:val="308E108C"/>
    <w:rsid w:val="30C02BF6"/>
    <w:rsid w:val="30DC4877"/>
    <w:rsid w:val="30E914E5"/>
    <w:rsid w:val="30EB1294"/>
    <w:rsid w:val="30FE1422"/>
    <w:rsid w:val="31234DDA"/>
    <w:rsid w:val="312C2E49"/>
    <w:rsid w:val="313B3AD4"/>
    <w:rsid w:val="3141012B"/>
    <w:rsid w:val="3167768A"/>
    <w:rsid w:val="317817A9"/>
    <w:rsid w:val="31837AC8"/>
    <w:rsid w:val="31993942"/>
    <w:rsid w:val="31B27A1E"/>
    <w:rsid w:val="31B74671"/>
    <w:rsid w:val="31D86206"/>
    <w:rsid w:val="31EB770B"/>
    <w:rsid w:val="31F25753"/>
    <w:rsid w:val="321E1872"/>
    <w:rsid w:val="32397423"/>
    <w:rsid w:val="323E3C7D"/>
    <w:rsid w:val="323E79DE"/>
    <w:rsid w:val="324D1741"/>
    <w:rsid w:val="326F758F"/>
    <w:rsid w:val="327D71F8"/>
    <w:rsid w:val="328835D6"/>
    <w:rsid w:val="329E32B4"/>
    <w:rsid w:val="32B57D8A"/>
    <w:rsid w:val="32BB1131"/>
    <w:rsid w:val="32D26E05"/>
    <w:rsid w:val="32DE4D94"/>
    <w:rsid w:val="32F42D8B"/>
    <w:rsid w:val="33026FEE"/>
    <w:rsid w:val="333037A7"/>
    <w:rsid w:val="336659E5"/>
    <w:rsid w:val="336B6CAE"/>
    <w:rsid w:val="33810D05"/>
    <w:rsid w:val="338B23C5"/>
    <w:rsid w:val="33962257"/>
    <w:rsid w:val="33B1545C"/>
    <w:rsid w:val="33D01DC7"/>
    <w:rsid w:val="33D15B4A"/>
    <w:rsid w:val="33D904B8"/>
    <w:rsid w:val="33DA61A6"/>
    <w:rsid w:val="33E70418"/>
    <w:rsid w:val="33E778A9"/>
    <w:rsid w:val="340B7E36"/>
    <w:rsid w:val="341D0099"/>
    <w:rsid w:val="34225B1F"/>
    <w:rsid w:val="34244540"/>
    <w:rsid w:val="343F124F"/>
    <w:rsid w:val="343F29DB"/>
    <w:rsid w:val="344D42CE"/>
    <w:rsid w:val="34553F41"/>
    <w:rsid w:val="34593204"/>
    <w:rsid w:val="34752AAC"/>
    <w:rsid w:val="34757FED"/>
    <w:rsid w:val="34857117"/>
    <w:rsid w:val="34874B16"/>
    <w:rsid w:val="34F25799"/>
    <w:rsid w:val="34F54892"/>
    <w:rsid w:val="34F772F1"/>
    <w:rsid w:val="35977A57"/>
    <w:rsid w:val="35AF56BC"/>
    <w:rsid w:val="35B96F45"/>
    <w:rsid w:val="35C31D24"/>
    <w:rsid w:val="35C67C14"/>
    <w:rsid w:val="35E3496E"/>
    <w:rsid w:val="35E93AE9"/>
    <w:rsid w:val="35FD0A7D"/>
    <w:rsid w:val="361C30D4"/>
    <w:rsid w:val="363A6AAE"/>
    <w:rsid w:val="3680785D"/>
    <w:rsid w:val="36830357"/>
    <w:rsid w:val="36AA33F4"/>
    <w:rsid w:val="36AD6A4F"/>
    <w:rsid w:val="36DB5F0D"/>
    <w:rsid w:val="36EB1B85"/>
    <w:rsid w:val="36FE62AC"/>
    <w:rsid w:val="370B1269"/>
    <w:rsid w:val="371C2AD0"/>
    <w:rsid w:val="3737395D"/>
    <w:rsid w:val="373C7B23"/>
    <w:rsid w:val="374A362A"/>
    <w:rsid w:val="3782332D"/>
    <w:rsid w:val="379C5406"/>
    <w:rsid w:val="37B275B5"/>
    <w:rsid w:val="37B8297F"/>
    <w:rsid w:val="37BE0823"/>
    <w:rsid w:val="37BE5D02"/>
    <w:rsid w:val="37EA480D"/>
    <w:rsid w:val="37FD13AD"/>
    <w:rsid w:val="380A777A"/>
    <w:rsid w:val="38134CAF"/>
    <w:rsid w:val="3837363C"/>
    <w:rsid w:val="385E332C"/>
    <w:rsid w:val="38617283"/>
    <w:rsid w:val="388E16E7"/>
    <w:rsid w:val="38E87A8D"/>
    <w:rsid w:val="38FF26D8"/>
    <w:rsid w:val="39015A4C"/>
    <w:rsid w:val="39096067"/>
    <w:rsid w:val="392B0CAB"/>
    <w:rsid w:val="395F1A3D"/>
    <w:rsid w:val="397B7D7E"/>
    <w:rsid w:val="3982576E"/>
    <w:rsid w:val="398F7107"/>
    <w:rsid w:val="39D477DD"/>
    <w:rsid w:val="39E5056C"/>
    <w:rsid w:val="39F45320"/>
    <w:rsid w:val="3A060EE9"/>
    <w:rsid w:val="3A295DED"/>
    <w:rsid w:val="3A472324"/>
    <w:rsid w:val="3A494155"/>
    <w:rsid w:val="3A5646F0"/>
    <w:rsid w:val="3A613E00"/>
    <w:rsid w:val="3A6D753A"/>
    <w:rsid w:val="3A745E56"/>
    <w:rsid w:val="3A76758F"/>
    <w:rsid w:val="3A802AE0"/>
    <w:rsid w:val="3A8D394C"/>
    <w:rsid w:val="3A9D5B0F"/>
    <w:rsid w:val="3AC86E2F"/>
    <w:rsid w:val="3AD514CC"/>
    <w:rsid w:val="3ADF372F"/>
    <w:rsid w:val="3AE0672D"/>
    <w:rsid w:val="3B2E5E28"/>
    <w:rsid w:val="3B3F51F9"/>
    <w:rsid w:val="3B432E11"/>
    <w:rsid w:val="3B500002"/>
    <w:rsid w:val="3B6A4EE8"/>
    <w:rsid w:val="3B766C74"/>
    <w:rsid w:val="3B7E546E"/>
    <w:rsid w:val="3BB63F4F"/>
    <w:rsid w:val="3BBD7D90"/>
    <w:rsid w:val="3BC91D73"/>
    <w:rsid w:val="3C0A2A51"/>
    <w:rsid w:val="3C1068F5"/>
    <w:rsid w:val="3C15041F"/>
    <w:rsid w:val="3C4414F8"/>
    <w:rsid w:val="3C46519C"/>
    <w:rsid w:val="3C5D7BCD"/>
    <w:rsid w:val="3C87112D"/>
    <w:rsid w:val="3CB143A1"/>
    <w:rsid w:val="3CB7084E"/>
    <w:rsid w:val="3CC00C6E"/>
    <w:rsid w:val="3CF23CD8"/>
    <w:rsid w:val="3CF74548"/>
    <w:rsid w:val="3D047E85"/>
    <w:rsid w:val="3D1B65F8"/>
    <w:rsid w:val="3D25457D"/>
    <w:rsid w:val="3D28237D"/>
    <w:rsid w:val="3D506501"/>
    <w:rsid w:val="3DAB5FB1"/>
    <w:rsid w:val="3DBA397D"/>
    <w:rsid w:val="3DFE7891"/>
    <w:rsid w:val="3E0331B4"/>
    <w:rsid w:val="3E1B5C6B"/>
    <w:rsid w:val="3E5A625C"/>
    <w:rsid w:val="3E625A3B"/>
    <w:rsid w:val="3E7220BF"/>
    <w:rsid w:val="3E7E0A83"/>
    <w:rsid w:val="3E8E79F5"/>
    <w:rsid w:val="3E900B33"/>
    <w:rsid w:val="3EE262D4"/>
    <w:rsid w:val="3F127997"/>
    <w:rsid w:val="3F19246D"/>
    <w:rsid w:val="3F454C68"/>
    <w:rsid w:val="3F767C9C"/>
    <w:rsid w:val="3F770AF5"/>
    <w:rsid w:val="3F7F1743"/>
    <w:rsid w:val="3F885048"/>
    <w:rsid w:val="3F922AFF"/>
    <w:rsid w:val="3FB942D5"/>
    <w:rsid w:val="3FBD0DDB"/>
    <w:rsid w:val="3FC914AB"/>
    <w:rsid w:val="3FE4655A"/>
    <w:rsid w:val="3FEE3223"/>
    <w:rsid w:val="3FF8487A"/>
    <w:rsid w:val="3FFF59E4"/>
    <w:rsid w:val="400D5A04"/>
    <w:rsid w:val="402917A1"/>
    <w:rsid w:val="402A1310"/>
    <w:rsid w:val="404B58D0"/>
    <w:rsid w:val="404E7A91"/>
    <w:rsid w:val="40546DC3"/>
    <w:rsid w:val="40631896"/>
    <w:rsid w:val="406C28D6"/>
    <w:rsid w:val="409B60B0"/>
    <w:rsid w:val="40C51AD5"/>
    <w:rsid w:val="40CC5F6E"/>
    <w:rsid w:val="40F027A9"/>
    <w:rsid w:val="40F46BF8"/>
    <w:rsid w:val="41094F6E"/>
    <w:rsid w:val="41135D03"/>
    <w:rsid w:val="412522E6"/>
    <w:rsid w:val="413063F4"/>
    <w:rsid w:val="4143414F"/>
    <w:rsid w:val="41736F3E"/>
    <w:rsid w:val="4175118A"/>
    <w:rsid w:val="419A7886"/>
    <w:rsid w:val="419D1803"/>
    <w:rsid w:val="419D6FBB"/>
    <w:rsid w:val="41A5594E"/>
    <w:rsid w:val="41AB799D"/>
    <w:rsid w:val="41EE1785"/>
    <w:rsid w:val="421F140E"/>
    <w:rsid w:val="425201E2"/>
    <w:rsid w:val="425F2195"/>
    <w:rsid w:val="426D26D3"/>
    <w:rsid w:val="428B5E34"/>
    <w:rsid w:val="429F4094"/>
    <w:rsid w:val="42A46316"/>
    <w:rsid w:val="42A73B3C"/>
    <w:rsid w:val="42C614DB"/>
    <w:rsid w:val="42E938E5"/>
    <w:rsid w:val="42EF632E"/>
    <w:rsid w:val="42F10DB7"/>
    <w:rsid w:val="42F53923"/>
    <w:rsid w:val="42F92D60"/>
    <w:rsid w:val="430023A8"/>
    <w:rsid w:val="432007B1"/>
    <w:rsid w:val="43585026"/>
    <w:rsid w:val="435B7656"/>
    <w:rsid w:val="43642853"/>
    <w:rsid w:val="43A20C5D"/>
    <w:rsid w:val="43A2676A"/>
    <w:rsid w:val="43AA0BB8"/>
    <w:rsid w:val="43B23976"/>
    <w:rsid w:val="43B42A57"/>
    <w:rsid w:val="43CF15D6"/>
    <w:rsid w:val="43E67C8C"/>
    <w:rsid w:val="43FF450F"/>
    <w:rsid w:val="440F0C3D"/>
    <w:rsid w:val="441F5C6F"/>
    <w:rsid w:val="4428257C"/>
    <w:rsid w:val="44333C72"/>
    <w:rsid w:val="4446239F"/>
    <w:rsid w:val="445769C5"/>
    <w:rsid w:val="4483155B"/>
    <w:rsid w:val="448A711F"/>
    <w:rsid w:val="44C17B8C"/>
    <w:rsid w:val="455A67B3"/>
    <w:rsid w:val="45613816"/>
    <w:rsid w:val="45692476"/>
    <w:rsid w:val="45B91AF7"/>
    <w:rsid w:val="45C6222F"/>
    <w:rsid w:val="45D0508E"/>
    <w:rsid w:val="45D60002"/>
    <w:rsid w:val="45DA412D"/>
    <w:rsid w:val="461C220D"/>
    <w:rsid w:val="46372244"/>
    <w:rsid w:val="464D2A00"/>
    <w:rsid w:val="46513990"/>
    <w:rsid w:val="467A2C67"/>
    <w:rsid w:val="467B7A93"/>
    <w:rsid w:val="468E2026"/>
    <w:rsid w:val="469A078B"/>
    <w:rsid w:val="46A23A3D"/>
    <w:rsid w:val="46A71F8F"/>
    <w:rsid w:val="46E649A9"/>
    <w:rsid w:val="46FE633B"/>
    <w:rsid w:val="47002E6A"/>
    <w:rsid w:val="47376830"/>
    <w:rsid w:val="473E37FE"/>
    <w:rsid w:val="478409AD"/>
    <w:rsid w:val="47B06722"/>
    <w:rsid w:val="47BF4C40"/>
    <w:rsid w:val="47C36BC6"/>
    <w:rsid w:val="47E84888"/>
    <w:rsid w:val="47F53D66"/>
    <w:rsid w:val="480F2BC1"/>
    <w:rsid w:val="48442019"/>
    <w:rsid w:val="48575B8F"/>
    <w:rsid w:val="48733DA8"/>
    <w:rsid w:val="4899174F"/>
    <w:rsid w:val="48C046BD"/>
    <w:rsid w:val="48CB3942"/>
    <w:rsid w:val="48CD7C54"/>
    <w:rsid w:val="48D27801"/>
    <w:rsid w:val="48E556CA"/>
    <w:rsid w:val="48EA7635"/>
    <w:rsid w:val="491A0743"/>
    <w:rsid w:val="491C6053"/>
    <w:rsid w:val="494229FA"/>
    <w:rsid w:val="49576757"/>
    <w:rsid w:val="49665D90"/>
    <w:rsid w:val="497F440D"/>
    <w:rsid w:val="49A92BDD"/>
    <w:rsid w:val="49DF1507"/>
    <w:rsid w:val="49E54CF7"/>
    <w:rsid w:val="4A26335B"/>
    <w:rsid w:val="4A384DB5"/>
    <w:rsid w:val="4A3B494E"/>
    <w:rsid w:val="4A477D1D"/>
    <w:rsid w:val="4A5600C6"/>
    <w:rsid w:val="4A7E649C"/>
    <w:rsid w:val="4A8E40AB"/>
    <w:rsid w:val="4AB1278F"/>
    <w:rsid w:val="4AC22A5A"/>
    <w:rsid w:val="4B145788"/>
    <w:rsid w:val="4B3305C5"/>
    <w:rsid w:val="4B67439C"/>
    <w:rsid w:val="4BE16CC7"/>
    <w:rsid w:val="4BE32FE3"/>
    <w:rsid w:val="4BE37072"/>
    <w:rsid w:val="4C082CB5"/>
    <w:rsid w:val="4C0F7E6F"/>
    <w:rsid w:val="4C1A3C85"/>
    <w:rsid w:val="4C216886"/>
    <w:rsid w:val="4C396CD6"/>
    <w:rsid w:val="4C4067B7"/>
    <w:rsid w:val="4C547275"/>
    <w:rsid w:val="4C70560B"/>
    <w:rsid w:val="4C7157D1"/>
    <w:rsid w:val="4CEB6459"/>
    <w:rsid w:val="4D0928B8"/>
    <w:rsid w:val="4D0A6BB4"/>
    <w:rsid w:val="4D183802"/>
    <w:rsid w:val="4D1D02DA"/>
    <w:rsid w:val="4D2A2C4D"/>
    <w:rsid w:val="4D32384F"/>
    <w:rsid w:val="4D442176"/>
    <w:rsid w:val="4D4D11DD"/>
    <w:rsid w:val="4D5C37D5"/>
    <w:rsid w:val="4D673AA2"/>
    <w:rsid w:val="4D785F01"/>
    <w:rsid w:val="4D956125"/>
    <w:rsid w:val="4D9D6BCE"/>
    <w:rsid w:val="4DA67027"/>
    <w:rsid w:val="4DAF6C21"/>
    <w:rsid w:val="4DC03CD8"/>
    <w:rsid w:val="4DC26C1E"/>
    <w:rsid w:val="4DCC5703"/>
    <w:rsid w:val="4E0D0B42"/>
    <w:rsid w:val="4E2639AD"/>
    <w:rsid w:val="4E3147DA"/>
    <w:rsid w:val="4E352295"/>
    <w:rsid w:val="4E44324D"/>
    <w:rsid w:val="4E473BD4"/>
    <w:rsid w:val="4E5258D8"/>
    <w:rsid w:val="4E54500B"/>
    <w:rsid w:val="4E5D411D"/>
    <w:rsid w:val="4E6C3260"/>
    <w:rsid w:val="4E846559"/>
    <w:rsid w:val="4E8A2861"/>
    <w:rsid w:val="4E9A729D"/>
    <w:rsid w:val="4EBD1841"/>
    <w:rsid w:val="4ECE7706"/>
    <w:rsid w:val="4ED129DC"/>
    <w:rsid w:val="4EF06392"/>
    <w:rsid w:val="4F1B5721"/>
    <w:rsid w:val="4F1E4035"/>
    <w:rsid w:val="4F24056B"/>
    <w:rsid w:val="4F2427E6"/>
    <w:rsid w:val="4F4F5991"/>
    <w:rsid w:val="4F5140EB"/>
    <w:rsid w:val="4F550276"/>
    <w:rsid w:val="4F5B3974"/>
    <w:rsid w:val="4F5E0EAB"/>
    <w:rsid w:val="4F6C6B24"/>
    <w:rsid w:val="4F786BF8"/>
    <w:rsid w:val="4F7E4C09"/>
    <w:rsid w:val="4F96535F"/>
    <w:rsid w:val="4F9E3CEE"/>
    <w:rsid w:val="4FB97EB0"/>
    <w:rsid w:val="4FCC2618"/>
    <w:rsid w:val="4FD915E2"/>
    <w:rsid w:val="4FDE1A41"/>
    <w:rsid w:val="4FDE42E9"/>
    <w:rsid w:val="4FEE0468"/>
    <w:rsid w:val="50122DBC"/>
    <w:rsid w:val="504423CC"/>
    <w:rsid w:val="504649DE"/>
    <w:rsid w:val="50540A96"/>
    <w:rsid w:val="506210F3"/>
    <w:rsid w:val="5064466B"/>
    <w:rsid w:val="50892D9B"/>
    <w:rsid w:val="5094522E"/>
    <w:rsid w:val="509524ED"/>
    <w:rsid w:val="50A0577E"/>
    <w:rsid w:val="50B81A26"/>
    <w:rsid w:val="50CA4EE4"/>
    <w:rsid w:val="50CE163F"/>
    <w:rsid w:val="50DD261D"/>
    <w:rsid w:val="510975C9"/>
    <w:rsid w:val="512A4A0B"/>
    <w:rsid w:val="513E6E34"/>
    <w:rsid w:val="51491C64"/>
    <w:rsid w:val="5164547A"/>
    <w:rsid w:val="51676FF8"/>
    <w:rsid w:val="520D2AF8"/>
    <w:rsid w:val="520F6FB3"/>
    <w:rsid w:val="523D2F01"/>
    <w:rsid w:val="524270B9"/>
    <w:rsid w:val="52486D9E"/>
    <w:rsid w:val="52AA19E4"/>
    <w:rsid w:val="52AD01AA"/>
    <w:rsid w:val="52EA5ACA"/>
    <w:rsid w:val="52EA7075"/>
    <w:rsid w:val="5334698A"/>
    <w:rsid w:val="53581C1E"/>
    <w:rsid w:val="5378036C"/>
    <w:rsid w:val="53931910"/>
    <w:rsid w:val="53973EC8"/>
    <w:rsid w:val="53C941BA"/>
    <w:rsid w:val="53DC6DF5"/>
    <w:rsid w:val="53F06C11"/>
    <w:rsid w:val="53F876B9"/>
    <w:rsid w:val="54001F9B"/>
    <w:rsid w:val="54306F9D"/>
    <w:rsid w:val="543512B0"/>
    <w:rsid w:val="543B7D49"/>
    <w:rsid w:val="54584741"/>
    <w:rsid w:val="54591FA3"/>
    <w:rsid w:val="546A463C"/>
    <w:rsid w:val="546D1C87"/>
    <w:rsid w:val="546D22BE"/>
    <w:rsid w:val="54717242"/>
    <w:rsid w:val="547D2ACD"/>
    <w:rsid w:val="54931923"/>
    <w:rsid w:val="54954BD6"/>
    <w:rsid w:val="54CF6382"/>
    <w:rsid w:val="54D71F50"/>
    <w:rsid w:val="54EF0C6D"/>
    <w:rsid w:val="54F271C4"/>
    <w:rsid w:val="55030E1A"/>
    <w:rsid w:val="551B77FB"/>
    <w:rsid w:val="554742DF"/>
    <w:rsid w:val="554F2238"/>
    <w:rsid w:val="55653467"/>
    <w:rsid w:val="55724F5C"/>
    <w:rsid w:val="55800404"/>
    <w:rsid w:val="558169EC"/>
    <w:rsid w:val="559073EB"/>
    <w:rsid w:val="55A666DB"/>
    <w:rsid w:val="55AA4D76"/>
    <w:rsid w:val="55AF5E99"/>
    <w:rsid w:val="55B80168"/>
    <w:rsid w:val="55CA6265"/>
    <w:rsid w:val="55D40892"/>
    <w:rsid w:val="55E15931"/>
    <w:rsid w:val="55E65AF1"/>
    <w:rsid w:val="563200C6"/>
    <w:rsid w:val="56620758"/>
    <w:rsid w:val="56741C78"/>
    <w:rsid w:val="5685169C"/>
    <w:rsid w:val="56917AC0"/>
    <w:rsid w:val="56C27E52"/>
    <w:rsid w:val="56D60169"/>
    <w:rsid w:val="56F73E37"/>
    <w:rsid w:val="573E3129"/>
    <w:rsid w:val="57482C7E"/>
    <w:rsid w:val="574A5808"/>
    <w:rsid w:val="574B7843"/>
    <w:rsid w:val="575F7E3A"/>
    <w:rsid w:val="57640A8D"/>
    <w:rsid w:val="578B666D"/>
    <w:rsid w:val="57C56367"/>
    <w:rsid w:val="57E7209F"/>
    <w:rsid w:val="57F13663"/>
    <w:rsid w:val="57FD368D"/>
    <w:rsid w:val="5823099F"/>
    <w:rsid w:val="582C7DE2"/>
    <w:rsid w:val="583D4032"/>
    <w:rsid w:val="58412D1D"/>
    <w:rsid w:val="5851195E"/>
    <w:rsid w:val="587678A9"/>
    <w:rsid w:val="589E602F"/>
    <w:rsid w:val="58A745A6"/>
    <w:rsid w:val="58ED23DE"/>
    <w:rsid w:val="58FC2306"/>
    <w:rsid w:val="59037785"/>
    <w:rsid w:val="59142359"/>
    <w:rsid w:val="592B44B6"/>
    <w:rsid w:val="592E158C"/>
    <w:rsid w:val="5940434F"/>
    <w:rsid w:val="59417473"/>
    <w:rsid w:val="5948232D"/>
    <w:rsid w:val="596B0A5C"/>
    <w:rsid w:val="59735180"/>
    <w:rsid w:val="59953135"/>
    <w:rsid w:val="59A457E5"/>
    <w:rsid w:val="59C027B5"/>
    <w:rsid w:val="59E91BCF"/>
    <w:rsid w:val="5A003588"/>
    <w:rsid w:val="5A0C23F0"/>
    <w:rsid w:val="5A1813DE"/>
    <w:rsid w:val="5A55615E"/>
    <w:rsid w:val="5A604385"/>
    <w:rsid w:val="5A7857FC"/>
    <w:rsid w:val="5A902DDE"/>
    <w:rsid w:val="5AA317FE"/>
    <w:rsid w:val="5AB033CF"/>
    <w:rsid w:val="5B050553"/>
    <w:rsid w:val="5B16147C"/>
    <w:rsid w:val="5B1D3D8B"/>
    <w:rsid w:val="5B203653"/>
    <w:rsid w:val="5B535A49"/>
    <w:rsid w:val="5B8918C8"/>
    <w:rsid w:val="5B8A3D0A"/>
    <w:rsid w:val="5BB51447"/>
    <w:rsid w:val="5BB91234"/>
    <w:rsid w:val="5BCA1EF1"/>
    <w:rsid w:val="5BCD7966"/>
    <w:rsid w:val="5BD00749"/>
    <w:rsid w:val="5C000613"/>
    <w:rsid w:val="5C0775A4"/>
    <w:rsid w:val="5C157918"/>
    <w:rsid w:val="5C1B0857"/>
    <w:rsid w:val="5C2D507B"/>
    <w:rsid w:val="5C4461CA"/>
    <w:rsid w:val="5C6401B4"/>
    <w:rsid w:val="5C690AA1"/>
    <w:rsid w:val="5CA760F2"/>
    <w:rsid w:val="5CC547FD"/>
    <w:rsid w:val="5CCD734A"/>
    <w:rsid w:val="5CD25EF9"/>
    <w:rsid w:val="5D06421C"/>
    <w:rsid w:val="5D103A06"/>
    <w:rsid w:val="5D5754AB"/>
    <w:rsid w:val="5D7152E5"/>
    <w:rsid w:val="5D977958"/>
    <w:rsid w:val="5DBA7C84"/>
    <w:rsid w:val="5DBD4D1F"/>
    <w:rsid w:val="5DD728FC"/>
    <w:rsid w:val="5DEF0B2B"/>
    <w:rsid w:val="5E204A0B"/>
    <w:rsid w:val="5E21279F"/>
    <w:rsid w:val="5E235B96"/>
    <w:rsid w:val="5E460039"/>
    <w:rsid w:val="5E4F3E9A"/>
    <w:rsid w:val="5E5238CE"/>
    <w:rsid w:val="5E6322A9"/>
    <w:rsid w:val="5E6903BA"/>
    <w:rsid w:val="5E6B6E70"/>
    <w:rsid w:val="5E891748"/>
    <w:rsid w:val="5E945BE0"/>
    <w:rsid w:val="5EA5372E"/>
    <w:rsid w:val="5EAB6928"/>
    <w:rsid w:val="5EDF5795"/>
    <w:rsid w:val="5F23251B"/>
    <w:rsid w:val="5F3600B0"/>
    <w:rsid w:val="5F3E650D"/>
    <w:rsid w:val="5F47462B"/>
    <w:rsid w:val="5F861FFC"/>
    <w:rsid w:val="5F872370"/>
    <w:rsid w:val="5FBB1D85"/>
    <w:rsid w:val="601E0BB1"/>
    <w:rsid w:val="60282F66"/>
    <w:rsid w:val="606B29B9"/>
    <w:rsid w:val="607B5A89"/>
    <w:rsid w:val="6086201D"/>
    <w:rsid w:val="60893A20"/>
    <w:rsid w:val="60AD0D40"/>
    <w:rsid w:val="60BF447B"/>
    <w:rsid w:val="60C31C4F"/>
    <w:rsid w:val="60D56A97"/>
    <w:rsid w:val="61141BEF"/>
    <w:rsid w:val="611E095F"/>
    <w:rsid w:val="612237B9"/>
    <w:rsid w:val="612A503D"/>
    <w:rsid w:val="614522D4"/>
    <w:rsid w:val="61535FDA"/>
    <w:rsid w:val="615B27CA"/>
    <w:rsid w:val="617E30CC"/>
    <w:rsid w:val="61862FAE"/>
    <w:rsid w:val="618D2208"/>
    <w:rsid w:val="61ED7A81"/>
    <w:rsid w:val="621C0BCC"/>
    <w:rsid w:val="623A6737"/>
    <w:rsid w:val="623B0E04"/>
    <w:rsid w:val="62713730"/>
    <w:rsid w:val="628B743B"/>
    <w:rsid w:val="62957D4A"/>
    <w:rsid w:val="629D7B4F"/>
    <w:rsid w:val="62B17789"/>
    <w:rsid w:val="62F80511"/>
    <w:rsid w:val="632D67D5"/>
    <w:rsid w:val="63696C4C"/>
    <w:rsid w:val="638E3BFA"/>
    <w:rsid w:val="63B13CCE"/>
    <w:rsid w:val="63B8277D"/>
    <w:rsid w:val="63BE4C6A"/>
    <w:rsid w:val="63C2343C"/>
    <w:rsid w:val="63D56773"/>
    <w:rsid w:val="63E51BC8"/>
    <w:rsid w:val="6418610C"/>
    <w:rsid w:val="64217AC4"/>
    <w:rsid w:val="64337CFF"/>
    <w:rsid w:val="644722E6"/>
    <w:rsid w:val="64527914"/>
    <w:rsid w:val="646740AB"/>
    <w:rsid w:val="64A351E3"/>
    <w:rsid w:val="64A42B84"/>
    <w:rsid w:val="64C5742A"/>
    <w:rsid w:val="64D12B9D"/>
    <w:rsid w:val="64F13755"/>
    <w:rsid w:val="64FF111D"/>
    <w:rsid w:val="651121A3"/>
    <w:rsid w:val="65223B3C"/>
    <w:rsid w:val="65490261"/>
    <w:rsid w:val="654D24C2"/>
    <w:rsid w:val="65543523"/>
    <w:rsid w:val="65560FC0"/>
    <w:rsid w:val="657D3E6C"/>
    <w:rsid w:val="658E7D76"/>
    <w:rsid w:val="65A1004F"/>
    <w:rsid w:val="65AE37E0"/>
    <w:rsid w:val="65C446F1"/>
    <w:rsid w:val="65EF6E1E"/>
    <w:rsid w:val="66107A8E"/>
    <w:rsid w:val="663F25C1"/>
    <w:rsid w:val="665E4DBB"/>
    <w:rsid w:val="666F460C"/>
    <w:rsid w:val="667F2D60"/>
    <w:rsid w:val="668937A8"/>
    <w:rsid w:val="669A59DC"/>
    <w:rsid w:val="66A561E0"/>
    <w:rsid w:val="66AD09A6"/>
    <w:rsid w:val="66B74A24"/>
    <w:rsid w:val="66BB419C"/>
    <w:rsid w:val="66DE677C"/>
    <w:rsid w:val="66F00726"/>
    <w:rsid w:val="66FA2C2E"/>
    <w:rsid w:val="67090E0C"/>
    <w:rsid w:val="67285E73"/>
    <w:rsid w:val="673827DE"/>
    <w:rsid w:val="67444F20"/>
    <w:rsid w:val="676476C1"/>
    <w:rsid w:val="67AC3EA0"/>
    <w:rsid w:val="67C022F3"/>
    <w:rsid w:val="684C718A"/>
    <w:rsid w:val="68543096"/>
    <w:rsid w:val="68582F54"/>
    <w:rsid w:val="68651458"/>
    <w:rsid w:val="689556E6"/>
    <w:rsid w:val="68D21421"/>
    <w:rsid w:val="68D715F4"/>
    <w:rsid w:val="691E4EC6"/>
    <w:rsid w:val="692862D9"/>
    <w:rsid w:val="692B6F95"/>
    <w:rsid w:val="693C586C"/>
    <w:rsid w:val="695520D0"/>
    <w:rsid w:val="69747E03"/>
    <w:rsid w:val="697B06D8"/>
    <w:rsid w:val="69BD3B76"/>
    <w:rsid w:val="69CB4E31"/>
    <w:rsid w:val="6A175279"/>
    <w:rsid w:val="6A184C8C"/>
    <w:rsid w:val="6A223317"/>
    <w:rsid w:val="6A2B061C"/>
    <w:rsid w:val="6A2D76A5"/>
    <w:rsid w:val="6A351F79"/>
    <w:rsid w:val="6A624ACC"/>
    <w:rsid w:val="6A680F18"/>
    <w:rsid w:val="6AA71D09"/>
    <w:rsid w:val="6AAB3A4D"/>
    <w:rsid w:val="6AE05301"/>
    <w:rsid w:val="6AE3705A"/>
    <w:rsid w:val="6B0D5202"/>
    <w:rsid w:val="6B17268B"/>
    <w:rsid w:val="6B207891"/>
    <w:rsid w:val="6B273DBB"/>
    <w:rsid w:val="6B4514B5"/>
    <w:rsid w:val="6B460572"/>
    <w:rsid w:val="6B525CBE"/>
    <w:rsid w:val="6B534B16"/>
    <w:rsid w:val="6B696658"/>
    <w:rsid w:val="6B6D1630"/>
    <w:rsid w:val="6B86133B"/>
    <w:rsid w:val="6B976944"/>
    <w:rsid w:val="6BBB4AA4"/>
    <w:rsid w:val="6BE14C9C"/>
    <w:rsid w:val="6BEE68C2"/>
    <w:rsid w:val="6BFD607A"/>
    <w:rsid w:val="6C0848DA"/>
    <w:rsid w:val="6C0C28DA"/>
    <w:rsid w:val="6C1369DD"/>
    <w:rsid w:val="6C2101BC"/>
    <w:rsid w:val="6C37770A"/>
    <w:rsid w:val="6C4108B9"/>
    <w:rsid w:val="6C671D43"/>
    <w:rsid w:val="6C862CFD"/>
    <w:rsid w:val="6C8E4FC3"/>
    <w:rsid w:val="6CCD48C3"/>
    <w:rsid w:val="6CD911CF"/>
    <w:rsid w:val="6CD95947"/>
    <w:rsid w:val="6CEE5605"/>
    <w:rsid w:val="6D3578D0"/>
    <w:rsid w:val="6D624396"/>
    <w:rsid w:val="6D733D02"/>
    <w:rsid w:val="6D8C3112"/>
    <w:rsid w:val="6DA95DCC"/>
    <w:rsid w:val="6DB75731"/>
    <w:rsid w:val="6DBA18FF"/>
    <w:rsid w:val="6DBE77E2"/>
    <w:rsid w:val="6E027310"/>
    <w:rsid w:val="6E0E0E0B"/>
    <w:rsid w:val="6E337035"/>
    <w:rsid w:val="6E3F48B1"/>
    <w:rsid w:val="6E445236"/>
    <w:rsid w:val="6E5F3C5C"/>
    <w:rsid w:val="6E707798"/>
    <w:rsid w:val="6E94438D"/>
    <w:rsid w:val="6E9F11BA"/>
    <w:rsid w:val="6EB72DBE"/>
    <w:rsid w:val="6ECF3CBE"/>
    <w:rsid w:val="6ED70604"/>
    <w:rsid w:val="6EDA63A8"/>
    <w:rsid w:val="6F0E5F5E"/>
    <w:rsid w:val="6F210F51"/>
    <w:rsid w:val="6F22420F"/>
    <w:rsid w:val="6F5C6A41"/>
    <w:rsid w:val="6F6C5AC8"/>
    <w:rsid w:val="6F6F1387"/>
    <w:rsid w:val="6F7B331B"/>
    <w:rsid w:val="6F933AC0"/>
    <w:rsid w:val="6FF6099B"/>
    <w:rsid w:val="6FF75ECD"/>
    <w:rsid w:val="700C6BBB"/>
    <w:rsid w:val="70104717"/>
    <w:rsid w:val="70455394"/>
    <w:rsid w:val="706A13B1"/>
    <w:rsid w:val="706A586D"/>
    <w:rsid w:val="70795F47"/>
    <w:rsid w:val="708C1346"/>
    <w:rsid w:val="708D4E1D"/>
    <w:rsid w:val="70964086"/>
    <w:rsid w:val="70BC6025"/>
    <w:rsid w:val="70CE089E"/>
    <w:rsid w:val="71026B50"/>
    <w:rsid w:val="7107114D"/>
    <w:rsid w:val="710F390D"/>
    <w:rsid w:val="7120280E"/>
    <w:rsid w:val="71214727"/>
    <w:rsid w:val="71505944"/>
    <w:rsid w:val="717350E4"/>
    <w:rsid w:val="717533A1"/>
    <w:rsid w:val="719E4EC9"/>
    <w:rsid w:val="71E152FD"/>
    <w:rsid w:val="71FD227D"/>
    <w:rsid w:val="720B33C9"/>
    <w:rsid w:val="72137FE7"/>
    <w:rsid w:val="722C32CF"/>
    <w:rsid w:val="722E5E53"/>
    <w:rsid w:val="725B11F6"/>
    <w:rsid w:val="725B4616"/>
    <w:rsid w:val="729E763B"/>
    <w:rsid w:val="72AD72BF"/>
    <w:rsid w:val="72B620D8"/>
    <w:rsid w:val="72BA71FF"/>
    <w:rsid w:val="72D46A31"/>
    <w:rsid w:val="73121DD9"/>
    <w:rsid w:val="732B0A90"/>
    <w:rsid w:val="7337190A"/>
    <w:rsid w:val="736010CE"/>
    <w:rsid w:val="73745819"/>
    <w:rsid w:val="738D0D67"/>
    <w:rsid w:val="73A613A0"/>
    <w:rsid w:val="73B2431A"/>
    <w:rsid w:val="73C23AC8"/>
    <w:rsid w:val="73C71909"/>
    <w:rsid w:val="73F40470"/>
    <w:rsid w:val="73F72D80"/>
    <w:rsid w:val="740B46CF"/>
    <w:rsid w:val="744512B1"/>
    <w:rsid w:val="746936C4"/>
    <w:rsid w:val="7473071B"/>
    <w:rsid w:val="749B2770"/>
    <w:rsid w:val="74B30901"/>
    <w:rsid w:val="74C419F4"/>
    <w:rsid w:val="74DF1164"/>
    <w:rsid w:val="74E25318"/>
    <w:rsid w:val="74FE2AC6"/>
    <w:rsid w:val="751D3B84"/>
    <w:rsid w:val="75260400"/>
    <w:rsid w:val="753921EE"/>
    <w:rsid w:val="753A5571"/>
    <w:rsid w:val="75401911"/>
    <w:rsid w:val="75404DB9"/>
    <w:rsid w:val="75452674"/>
    <w:rsid w:val="7563593D"/>
    <w:rsid w:val="757B74FF"/>
    <w:rsid w:val="75C25874"/>
    <w:rsid w:val="75D43A87"/>
    <w:rsid w:val="76257E72"/>
    <w:rsid w:val="76360B07"/>
    <w:rsid w:val="76367EBB"/>
    <w:rsid w:val="76465AB5"/>
    <w:rsid w:val="764A68AB"/>
    <w:rsid w:val="764E2EF9"/>
    <w:rsid w:val="764F097A"/>
    <w:rsid w:val="765E58D5"/>
    <w:rsid w:val="7662140C"/>
    <w:rsid w:val="76720AC1"/>
    <w:rsid w:val="768F16F0"/>
    <w:rsid w:val="76BB5D23"/>
    <w:rsid w:val="77430850"/>
    <w:rsid w:val="774C0381"/>
    <w:rsid w:val="77582171"/>
    <w:rsid w:val="775C4690"/>
    <w:rsid w:val="77AB7609"/>
    <w:rsid w:val="77B02222"/>
    <w:rsid w:val="77C1430E"/>
    <w:rsid w:val="77D201B0"/>
    <w:rsid w:val="77F46148"/>
    <w:rsid w:val="781F1785"/>
    <w:rsid w:val="78256661"/>
    <w:rsid w:val="78382F9B"/>
    <w:rsid w:val="783A1A0D"/>
    <w:rsid w:val="783C6553"/>
    <w:rsid w:val="785C5C8E"/>
    <w:rsid w:val="78664A48"/>
    <w:rsid w:val="78673B6B"/>
    <w:rsid w:val="78762313"/>
    <w:rsid w:val="787B75F4"/>
    <w:rsid w:val="788044C0"/>
    <w:rsid w:val="788851D0"/>
    <w:rsid w:val="78A60420"/>
    <w:rsid w:val="78C02DED"/>
    <w:rsid w:val="78C50560"/>
    <w:rsid w:val="78C95110"/>
    <w:rsid w:val="78CA3282"/>
    <w:rsid w:val="78CD733F"/>
    <w:rsid w:val="79022909"/>
    <w:rsid w:val="791C7898"/>
    <w:rsid w:val="793075E2"/>
    <w:rsid w:val="794A2E4A"/>
    <w:rsid w:val="796664F6"/>
    <w:rsid w:val="79736A62"/>
    <w:rsid w:val="79817FCD"/>
    <w:rsid w:val="7996704F"/>
    <w:rsid w:val="79AC2E1E"/>
    <w:rsid w:val="79C609A0"/>
    <w:rsid w:val="79FD3D3F"/>
    <w:rsid w:val="7A030417"/>
    <w:rsid w:val="7A1519E7"/>
    <w:rsid w:val="7A4815D0"/>
    <w:rsid w:val="7A5A03BC"/>
    <w:rsid w:val="7A667F91"/>
    <w:rsid w:val="7A6D257B"/>
    <w:rsid w:val="7A761386"/>
    <w:rsid w:val="7A9379C7"/>
    <w:rsid w:val="7AB614C5"/>
    <w:rsid w:val="7AB73FFD"/>
    <w:rsid w:val="7ACB39A3"/>
    <w:rsid w:val="7ACC7B06"/>
    <w:rsid w:val="7B0604E3"/>
    <w:rsid w:val="7B0F642D"/>
    <w:rsid w:val="7B327B22"/>
    <w:rsid w:val="7B4266DD"/>
    <w:rsid w:val="7B867BD0"/>
    <w:rsid w:val="7B8E2DFB"/>
    <w:rsid w:val="7B9006B7"/>
    <w:rsid w:val="7BD1704D"/>
    <w:rsid w:val="7BD32047"/>
    <w:rsid w:val="7C1B03B3"/>
    <w:rsid w:val="7C3A0035"/>
    <w:rsid w:val="7C4E0CAA"/>
    <w:rsid w:val="7C6075FB"/>
    <w:rsid w:val="7C784094"/>
    <w:rsid w:val="7C795677"/>
    <w:rsid w:val="7C884234"/>
    <w:rsid w:val="7C8A16C7"/>
    <w:rsid w:val="7CBF4E6A"/>
    <w:rsid w:val="7CC0787E"/>
    <w:rsid w:val="7CD06EC2"/>
    <w:rsid w:val="7CF6161A"/>
    <w:rsid w:val="7D0770F6"/>
    <w:rsid w:val="7D180D89"/>
    <w:rsid w:val="7D181C31"/>
    <w:rsid w:val="7D273AD6"/>
    <w:rsid w:val="7D2F3530"/>
    <w:rsid w:val="7D3628A8"/>
    <w:rsid w:val="7D3704A9"/>
    <w:rsid w:val="7D3F0ED0"/>
    <w:rsid w:val="7D516B80"/>
    <w:rsid w:val="7D6D6D22"/>
    <w:rsid w:val="7DB2224C"/>
    <w:rsid w:val="7DB73F6A"/>
    <w:rsid w:val="7DD25B4F"/>
    <w:rsid w:val="7E0A2738"/>
    <w:rsid w:val="7E14303A"/>
    <w:rsid w:val="7E1C0869"/>
    <w:rsid w:val="7E1C1410"/>
    <w:rsid w:val="7E4C0083"/>
    <w:rsid w:val="7E745871"/>
    <w:rsid w:val="7E9B7C75"/>
    <w:rsid w:val="7ED05CCE"/>
    <w:rsid w:val="7EF26451"/>
    <w:rsid w:val="7F066CFA"/>
    <w:rsid w:val="7F147729"/>
    <w:rsid w:val="7F242E58"/>
    <w:rsid w:val="7F4A57DE"/>
    <w:rsid w:val="7F7F1F8B"/>
    <w:rsid w:val="7F9E35B2"/>
    <w:rsid w:val="7FB9148A"/>
    <w:rsid w:val="7FC046F8"/>
    <w:rsid w:val="7FE1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rPr>
      <w:kern w:val="0"/>
      <w:sz w:val="20"/>
    </w:rPr>
  </w:style>
  <w:style w:type="paragraph" w:styleId="3">
    <w:name w:val="Balloon Text"/>
    <w:basedOn w:val="1"/>
    <w:link w:val="27"/>
    <w:semiHidden/>
    <w:unhideWhenUsed/>
    <w:qFormat/>
    <w:uiPriority w:val="99"/>
    <w:rPr>
      <w:sz w:val="18"/>
      <w:szCs w:val="18"/>
    </w:rPr>
  </w:style>
  <w:style w:type="paragraph" w:styleId="4">
    <w:name w:val="footer"/>
    <w:basedOn w:val="1"/>
    <w:link w:val="21"/>
    <w:qFormat/>
    <w:uiPriority w:val="99"/>
    <w:pPr>
      <w:tabs>
        <w:tab w:val="center" w:pos="4153"/>
        <w:tab w:val="right" w:pos="8306"/>
      </w:tabs>
      <w:snapToGrid w:val="0"/>
      <w:jc w:val="left"/>
    </w:pPr>
    <w:rPr>
      <w:sz w:val="18"/>
    </w:rPr>
  </w:style>
  <w:style w:type="paragraph" w:styleId="5">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jc w:val="left"/>
    </w:pPr>
    <w:rPr>
      <w:kern w:val="0"/>
      <w:szCs w:val="21"/>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page number"/>
    <w:basedOn w:val="9"/>
    <w:unhideWhenUsed/>
    <w:qFormat/>
    <w:uiPriority w:val="99"/>
  </w:style>
  <w:style w:type="character" w:styleId="11">
    <w:name w:val="FollowedHyperlink"/>
    <w:basedOn w:val="9"/>
    <w:unhideWhenUsed/>
    <w:qFormat/>
    <w:uiPriority w:val="99"/>
    <w:rPr>
      <w:color w:val="5F5F5F"/>
      <w:u w:val="none"/>
    </w:rPr>
  </w:style>
  <w:style w:type="character" w:styleId="12">
    <w:name w:val="HTML Definition"/>
    <w:basedOn w:val="9"/>
    <w:semiHidden/>
    <w:unhideWhenUsed/>
    <w:qFormat/>
    <w:uiPriority w:val="99"/>
  </w:style>
  <w:style w:type="character" w:styleId="13">
    <w:name w:val="HTML Variable"/>
    <w:basedOn w:val="9"/>
    <w:semiHidden/>
    <w:unhideWhenUsed/>
    <w:qFormat/>
    <w:uiPriority w:val="99"/>
  </w:style>
  <w:style w:type="character" w:styleId="14">
    <w:name w:val="Hyperlink"/>
    <w:basedOn w:val="9"/>
    <w:unhideWhenUsed/>
    <w:qFormat/>
    <w:uiPriority w:val="99"/>
    <w:rPr>
      <w:color w:val="5F5F5F"/>
      <w:u w:val="none"/>
    </w:rPr>
  </w:style>
  <w:style w:type="character" w:styleId="15">
    <w:name w:val="HTML Code"/>
    <w:basedOn w:val="9"/>
    <w:semiHidden/>
    <w:unhideWhenUsed/>
    <w:qFormat/>
    <w:uiPriority w:val="99"/>
    <w:rPr>
      <w:rFonts w:ascii="Courier New" w:hAnsi="Courier New"/>
      <w:sz w:val="20"/>
    </w:rPr>
  </w:style>
  <w:style w:type="character" w:styleId="16">
    <w:name w:val="HTML Cite"/>
    <w:basedOn w:val="9"/>
    <w:semiHidden/>
    <w:unhideWhenUsed/>
    <w:qFormat/>
    <w:uiPriority w:val="99"/>
  </w:style>
  <w:style w:type="character" w:customStyle="1" w:styleId="17">
    <w:name w:val="show"/>
    <w:basedOn w:val="9"/>
    <w:qFormat/>
    <w:uiPriority w:val="0"/>
  </w:style>
  <w:style w:type="character" w:customStyle="1" w:styleId="18">
    <w:name w:val="页脚 Char1"/>
    <w:basedOn w:val="9"/>
    <w:qFormat/>
    <w:uiPriority w:val="0"/>
    <w:rPr>
      <w:kern w:val="2"/>
      <w:sz w:val="18"/>
      <w:szCs w:val="18"/>
    </w:rPr>
  </w:style>
  <w:style w:type="character" w:customStyle="1" w:styleId="19">
    <w:name w:val="页眉 Char1"/>
    <w:basedOn w:val="9"/>
    <w:qFormat/>
    <w:uiPriority w:val="0"/>
    <w:rPr>
      <w:kern w:val="2"/>
      <w:sz w:val="18"/>
      <w:szCs w:val="18"/>
    </w:rPr>
  </w:style>
  <w:style w:type="character" w:customStyle="1" w:styleId="20">
    <w:name w:val="页眉 Char"/>
    <w:basedOn w:val="9"/>
    <w:link w:val="5"/>
    <w:qFormat/>
    <w:uiPriority w:val="99"/>
    <w:rPr>
      <w:kern w:val="2"/>
      <w:sz w:val="18"/>
      <w:szCs w:val="24"/>
    </w:rPr>
  </w:style>
  <w:style w:type="character" w:customStyle="1" w:styleId="21">
    <w:name w:val="页脚 Char"/>
    <w:basedOn w:val="9"/>
    <w:link w:val="4"/>
    <w:qFormat/>
    <w:uiPriority w:val="99"/>
    <w:rPr>
      <w:kern w:val="2"/>
      <w:sz w:val="18"/>
      <w:szCs w:val="24"/>
    </w:rPr>
  </w:style>
  <w:style w:type="paragraph" w:customStyle="1" w:styleId="22">
    <w:name w:val="列出段落1"/>
    <w:basedOn w:val="1"/>
    <w:qFormat/>
    <w:uiPriority w:val="0"/>
    <w:pPr>
      <w:ind w:firstLine="420" w:firstLineChars="200"/>
    </w:pPr>
  </w:style>
  <w:style w:type="paragraph" w:styleId="23">
    <w:name w:val="List Paragraph"/>
    <w:basedOn w:val="1"/>
    <w:unhideWhenUsed/>
    <w:qFormat/>
    <w:uiPriority w:val="99"/>
    <w:pPr>
      <w:ind w:firstLine="420" w:firstLineChars="200"/>
    </w:pPr>
  </w:style>
  <w:style w:type="character" w:customStyle="1" w:styleId="24">
    <w:name w:val="video-img"/>
    <w:basedOn w:val="9"/>
    <w:qFormat/>
    <w:uiPriority w:val="0"/>
    <w:rPr>
      <w:color w:val="FFFFFF"/>
    </w:rPr>
  </w:style>
  <w:style w:type="character" w:customStyle="1" w:styleId="25">
    <w:name w:val="news_tab_date"/>
    <w:basedOn w:val="9"/>
    <w:qFormat/>
    <w:uiPriority w:val="0"/>
    <w:rPr>
      <w:color w:val="9A9A9A"/>
      <w:sz w:val="14"/>
      <w:szCs w:val="14"/>
    </w:rPr>
  </w:style>
  <w:style w:type="character" w:customStyle="1" w:styleId="26">
    <w:name w:val="space"/>
    <w:basedOn w:val="9"/>
    <w:qFormat/>
    <w:uiPriority w:val="0"/>
  </w:style>
  <w:style w:type="character" w:customStyle="1" w:styleId="27">
    <w:name w:val="批注框文本 Char"/>
    <w:basedOn w:val="9"/>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2137</Words>
  <Characters>12186</Characters>
  <Lines>101</Lines>
  <Paragraphs>28</Paragraphs>
  <TotalTime>1</TotalTime>
  <ScaleCrop>false</ScaleCrop>
  <LinksUpToDate>false</LinksUpToDate>
  <CharactersWithSpaces>14295</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2017-04-12T03:26:00Z</dcterms:created>
  <dc:creator>lenovo</dc:creator>
  <cp:lastModifiedBy>TEDA～马金永</cp:lastModifiedBy>
  <cp:lastPrinted>2019-06-10T03:27:00Z</cp:lastPrinted>
  <dcterms:modified xsi:type="dcterms:W3CDTF">2019-06-25T05:52:32Z</dcterms:modified>
  <dc:title>关于开展2013年度促进企业构建和谐劳动关系奖励申报及评选工作的通知</dc:title>
  <cp:revision>447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