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880" w:firstLineChars="200"/>
        <w:textAlignment w:val="auto"/>
        <w:rPr>
          <w:rFonts w:hint="eastAsia" w:ascii="方正小标宋_GBK" w:hAnsi="方正小标宋_GBK" w:eastAsia="方正小标宋_GBK" w:cs="方正小标宋_GBK"/>
          <w:b w:val="0"/>
          <w:bCs w:val="0"/>
          <w:color w:val="000000"/>
          <w:kern w:val="0"/>
          <w:sz w:val="44"/>
          <w:szCs w:val="44"/>
          <w:lang w:val="en-US" w:eastAsia="zh-CN"/>
        </w:rPr>
      </w:pPr>
      <w:r>
        <w:rPr>
          <w:rFonts w:hint="eastAsia" w:ascii="方正小标宋_GBK" w:hAnsi="方正小标宋_GBK" w:eastAsia="方正小标宋_GBK" w:cs="方正小标宋_GBK"/>
          <w:b w:val="0"/>
          <w:bCs w:val="0"/>
          <w:color w:val="000000"/>
          <w:kern w:val="0"/>
          <w:sz w:val="44"/>
          <w:szCs w:val="44"/>
          <w:lang w:val="en-US" w:eastAsia="zh-CN"/>
        </w:rPr>
        <w:t>2022年太平镇政府信息公开年度报告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kern w:val="0"/>
          <w:sz w:val="34"/>
          <w:szCs w:val="34"/>
          <w:lang w:val="en-US" w:eastAsia="zh-CN" w:bidi="ar"/>
        </w:rPr>
      </w:pPr>
      <w:r>
        <w:rPr>
          <w:rFonts w:hint="eastAsia" w:ascii="仿宋_GB2312" w:hAnsi="仿宋_GB2312" w:eastAsia="仿宋_GB2312" w:cs="仿宋_GB2312"/>
          <w:kern w:val="0"/>
          <w:sz w:val="34"/>
          <w:szCs w:val="34"/>
          <w:lang w:val="en-US" w:eastAsia="zh-CN" w:bidi="ar"/>
        </w:rPr>
        <w:t>根据《中华人民共和国政府信息公开条例》有关规定，及时更新发布《政府信息公开指南》，不断加强政府信息公开工作，坚持以公开为原则，不公开为例外，紧紧围绕区委、区政府中心工作，切实加强政策解读和政务舆情回应，保障人民群众知情权、参与权、表达权和监督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kern w:val="0"/>
          <w:sz w:val="34"/>
          <w:szCs w:val="34"/>
          <w:lang w:val="en-US" w:eastAsia="zh-CN" w:bidi="ar"/>
        </w:rPr>
      </w:pPr>
      <w:r>
        <w:rPr>
          <w:rFonts w:hint="eastAsia" w:ascii="仿宋_GB2312" w:hAnsi="仿宋_GB2312" w:eastAsia="仿宋_GB2312" w:cs="仿宋_GB2312"/>
          <w:kern w:val="0"/>
          <w:sz w:val="34"/>
          <w:szCs w:val="34"/>
          <w:lang w:val="en-US" w:eastAsia="zh-CN" w:bidi="ar"/>
        </w:rPr>
        <w:t>本报告包括总体情况、主动公开政府信息情况、依申请公开政府信息情况、行政复议和行政诉讼情况、存在的主要问题及改进情况、其他需要报告事项等六部分组成。报告中所列数据的统计期限自2022年1月1日起，至2022年12月31日止。本报告公众可在本级政府门户网站信息公开专栏中查看。对本报告如有疑问，请与太平镇综合办公室联系（电话：022-63157781；电子邮箱：bhtpzzhb@tj.gov.cn；邮编：300282）。</w:t>
      </w:r>
      <w:bookmarkStart w:id="0" w:name="_GoBack"/>
      <w:bookmarkEnd w:id="0"/>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kern w:val="0"/>
          <w:sz w:val="34"/>
          <w:szCs w:val="34"/>
          <w:lang w:val="en-US" w:eastAsia="zh-CN" w:bidi="ar"/>
        </w:rPr>
      </w:pPr>
      <w:r>
        <w:rPr>
          <w:rFonts w:hint="eastAsia" w:ascii="黑体" w:hAnsi="黑体" w:eastAsia="黑体" w:cs="黑体"/>
          <w:kern w:val="0"/>
          <w:sz w:val="34"/>
          <w:szCs w:val="34"/>
          <w:lang w:val="en-US" w:eastAsia="zh-CN" w:bidi="ar"/>
        </w:rPr>
        <w:t>一、总体情况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kern w:val="0"/>
          <w:sz w:val="34"/>
          <w:szCs w:val="34"/>
          <w:lang w:val="en-US" w:eastAsia="zh-CN" w:bidi="ar"/>
        </w:rPr>
      </w:pPr>
      <w:r>
        <w:rPr>
          <w:rFonts w:hint="eastAsia" w:ascii="仿宋_GB2312" w:hAnsi="仿宋_GB2312" w:eastAsia="仿宋_GB2312" w:cs="仿宋_GB2312"/>
          <w:kern w:val="0"/>
          <w:sz w:val="34"/>
          <w:szCs w:val="34"/>
          <w:lang w:val="en-US" w:eastAsia="zh-CN" w:bidi="ar"/>
        </w:rPr>
        <w:t>推进政府信息公开是贯彻落实《中华人民共和国政府信息公开条例》的重要举措，是深入推行政务公开，转变政府职能，建设人民满意的服务型政府的一项重要工作。镇领导高度重视，把政府信息公开工作列入议事日程，召开政府信息公开专题会议，加强学习和宣传政府信息公开工作精神，充分认识到政务公开工作的重要性，确保按照文件的要求，保证公开文件的数量和质量。政府信息公开工作取得了明显成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kern w:val="0"/>
          <w:sz w:val="34"/>
          <w:szCs w:val="34"/>
          <w:lang w:val="en-US" w:eastAsia="zh-CN" w:bidi="ar"/>
        </w:rPr>
      </w:pPr>
      <w:r>
        <w:rPr>
          <w:rFonts w:hint="eastAsia" w:ascii="楷体" w:hAnsi="楷体" w:eastAsia="楷体" w:cs="楷体"/>
          <w:kern w:val="0"/>
          <w:sz w:val="34"/>
          <w:szCs w:val="34"/>
          <w:lang w:val="en-US" w:eastAsia="zh-CN" w:bidi="ar"/>
        </w:rPr>
        <w:t>（一）主动公开情况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kern w:val="0"/>
          <w:sz w:val="34"/>
          <w:szCs w:val="34"/>
          <w:lang w:val="en-US" w:eastAsia="zh-CN" w:bidi="ar"/>
        </w:rPr>
      </w:pPr>
      <w:r>
        <w:rPr>
          <w:rFonts w:hint="eastAsia" w:ascii="仿宋_GB2312" w:hAnsi="仿宋_GB2312" w:eastAsia="仿宋_GB2312" w:cs="仿宋_GB2312"/>
          <w:kern w:val="0"/>
          <w:sz w:val="34"/>
          <w:szCs w:val="34"/>
          <w:lang w:val="en-US" w:eastAsia="zh-CN" w:bidi="ar"/>
        </w:rPr>
        <w:t>2022年，我镇着力建立健全政府信息主动公开工作机制和政府信息公开申请受理机制，规范和完善工作流程，明确责任、程序、公开方式和时限要求。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楷体" w:hAnsi="楷体" w:eastAsia="楷体" w:cs="楷体"/>
          <w:kern w:val="0"/>
          <w:sz w:val="34"/>
          <w:szCs w:val="34"/>
          <w:lang w:val="en-US" w:eastAsia="zh-CN" w:bidi="ar"/>
        </w:rPr>
      </w:pPr>
      <w:r>
        <w:rPr>
          <w:rFonts w:hint="eastAsia" w:ascii="楷体" w:hAnsi="楷体" w:eastAsia="楷体" w:cs="楷体"/>
          <w:kern w:val="0"/>
          <w:sz w:val="34"/>
          <w:szCs w:val="34"/>
          <w:lang w:val="en-US" w:eastAsia="zh-CN" w:bidi="ar"/>
        </w:rPr>
        <w:t>（二）重点领域政府信息公开情况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default" w:ascii="仿宋_GB2312" w:hAnsi="仿宋_GB2312" w:eastAsia="仿宋_GB2312" w:cs="仿宋_GB2312"/>
          <w:kern w:val="0"/>
          <w:sz w:val="34"/>
          <w:szCs w:val="34"/>
          <w:lang w:val="en-US" w:eastAsia="zh-CN" w:bidi="ar"/>
        </w:rPr>
      </w:pPr>
      <w:r>
        <w:rPr>
          <w:rFonts w:hint="eastAsia" w:ascii="仿宋_GB2312" w:hAnsi="仿宋_GB2312" w:eastAsia="仿宋_GB2312" w:cs="仿宋_GB2312"/>
          <w:kern w:val="0"/>
          <w:sz w:val="34"/>
          <w:szCs w:val="34"/>
          <w:lang w:val="en-US" w:eastAsia="zh-CN" w:bidi="ar"/>
        </w:rPr>
        <w:t>通过区政府网站及时公布2022年太平镇各类工作报告、各部门政策性文件、疫情防控、年度重点工作任务等，并通过线上线下渠道进行宣传展示。丰富网站内容，提高更新率和内容质量，加强政企沟通、政民互动，进一步扩大公众参与，认真听取公众意见，不断提升政务公开工作水平。</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楷体" w:hAnsi="楷体" w:eastAsia="楷体" w:cs="楷体"/>
          <w:kern w:val="0"/>
          <w:sz w:val="34"/>
          <w:szCs w:val="34"/>
          <w:lang w:val="en-US" w:eastAsia="zh-CN" w:bidi="ar"/>
        </w:rPr>
      </w:pPr>
      <w:r>
        <w:rPr>
          <w:rFonts w:hint="eastAsia" w:ascii="楷体" w:hAnsi="楷体" w:eastAsia="楷体" w:cs="楷体"/>
          <w:kern w:val="0"/>
          <w:sz w:val="34"/>
          <w:szCs w:val="34"/>
          <w:lang w:val="en-US" w:eastAsia="zh-CN" w:bidi="ar"/>
        </w:rPr>
        <w:t>（三）依申请公开政府信息情况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kern w:val="0"/>
          <w:sz w:val="34"/>
          <w:szCs w:val="34"/>
          <w:lang w:val="en-US" w:eastAsia="zh-CN" w:bidi="ar"/>
        </w:rPr>
      </w:pPr>
      <w:r>
        <w:rPr>
          <w:rFonts w:hint="eastAsia" w:ascii="仿宋_GB2312" w:hAnsi="仿宋_GB2312" w:eastAsia="仿宋_GB2312" w:cs="仿宋_GB2312"/>
          <w:kern w:val="0"/>
          <w:sz w:val="34"/>
          <w:szCs w:val="34"/>
          <w:lang w:val="en-US" w:eastAsia="zh-CN" w:bidi="ar"/>
        </w:rPr>
        <w:t>完善依申请公开的渠道、认真落实依申请公开办理工作流程，规范依申请政府信息标准化答复文书。明确申请受理、审查、处理、答复等各个环节，严格落实一次性告知制度、首问负责制、限时办结制等制度，认真抓好政府信息发布协调机制建设。2022年共受理政府信息公开申请3件，已全部办结。</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kern w:val="0"/>
          <w:sz w:val="34"/>
          <w:szCs w:val="34"/>
          <w:lang w:val="en-US" w:eastAsia="zh-CN" w:bidi="ar"/>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kern w:val="0"/>
          <w:sz w:val="34"/>
          <w:szCs w:val="34"/>
          <w:lang w:val="en-US" w:eastAsia="zh-CN" w:bidi="ar"/>
        </w:rPr>
      </w:pPr>
    </w:p>
    <w:p>
      <w:pPr>
        <w:widowControl/>
        <w:shd w:val="clear" w:color="auto" w:fill="FFFFFF"/>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w:t>
            </w:r>
            <w:r>
              <w:rPr>
                <w:rFonts w:ascii="宋体" w:hAnsi="宋体" w:eastAsia="宋体" w:cs="宋体"/>
                <w:color w:val="000000"/>
                <w:kern w:val="0"/>
                <w:sz w:val="28"/>
                <w:szCs w:val="28"/>
              </w:rPr>
              <w:t>制</w:t>
            </w:r>
            <w:r>
              <w:rPr>
                <w:rFonts w:hint="eastAsia" w:ascii="宋体" w:hAnsi="宋体" w:eastAsia="宋体" w:cs="宋体"/>
                <w:color w:val="000000"/>
                <w:kern w:val="0"/>
                <w:sz w:val="28"/>
                <w:szCs w:val="28"/>
              </w:rPr>
              <w:t>发件</w:t>
            </w:r>
            <w:r>
              <w:rPr>
                <w:rFonts w:ascii="宋体" w:hAnsi="宋体" w:eastAsia="宋体" w:cs="宋体"/>
                <w:color w:val="000000"/>
                <w:kern w:val="0"/>
                <w:sz w:val="28"/>
                <w:szCs w:val="28"/>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现行有效件</w:t>
            </w:r>
            <w:r>
              <w:rPr>
                <w:rFonts w:ascii="宋体" w:hAnsi="宋体" w:eastAsia="宋体" w:cs="宋体"/>
                <w:color w:val="000000"/>
                <w:kern w:val="0"/>
                <w:sz w:val="28"/>
                <w:szCs w:val="28"/>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34</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r>
    </w:tbl>
    <w:p>
      <w:pPr>
        <w:widowControl/>
        <w:shd w:val="clear" w:color="auto" w:fill="FFFFFF"/>
        <w:ind w:firstLine="480"/>
        <w:rPr>
          <w:rFonts w:hint="eastAsia" w:ascii="宋体" w:hAnsi="宋体" w:eastAsia="宋体" w:cs="宋体"/>
          <w:color w:val="000000"/>
          <w:kern w:val="0"/>
          <w:sz w:val="24"/>
          <w:szCs w:val="24"/>
        </w:rPr>
      </w:pPr>
    </w:p>
    <w:p>
      <w:pPr>
        <w:widowControl/>
        <w:shd w:val="clear" w:color="auto" w:fill="FFFFFF"/>
        <w:ind w:firstLine="480"/>
        <w:rPr>
          <w:rFonts w:hint="eastAsia" w:ascii="黑体" w:hAnsi="黑体" w:eastAsia="黑体" w:cs="黑体"/>
          <w:b w:val="0"/>
          <w:bCs w:val="0"/>
          <w:color w:val="000000"/>
          <w:kern w:val="0"/>
          <w:sz w:val="32"/>
          <w:szCs w:val="32"/>
        </w:rPr>
      </w:pPr>
    </w:p>
    <w:p>
      <w:pPr>
        <w:widowControl/>
        <w:shd w:val="clear" w:color="auto" w:fill="FFFFFF"/>
        <w:ind w:firstLine="480"/>
        <w:rPr>
          <w:rFonts w:hint="eastAsia" w:ascii="黑体" w:hAnsi="黑体" w:eastAsia="黑体" w:cs="黑体"/>
          <w:b w:val="0"/>
          <w:bCs w:val="0"/>
          <w:color w:val="000000"/>
          <w:kern w:val="0"/>
          <w:sz w:val="32"/>
          <w:szCs w:val="32"/>
        </w:rPr>
      </w:pPr>
    </w:p>
    <w:p>
      <w:pPr>
        <w:widowControl/>
        <w:shd w:val="clear" w:color="auto" w:fill="FFFFFF"/>
        <w:ind w:firstLine="480"/>
        <w:rPr>
          <w:rFonts w:hint="eastAsia" w:ascii="黑体" w:hAnsi="黑体" w:eastAsia="黑体" w:cs="黑体"/>
          <w:b w:val="0"/>
          <w:bCs w:val="0"/>
          <w:color w:val="000000"/>
          <w:kern w:val="0"/>
          <w:sz w:val="32"/>
          <w:szCs w:val="32"/>
        </w:rPr>
      </w:pPr>
    </w:p>
    <w:p>
      <w:pPr>
        <w:widowControl/>
        <w:shd w:val="clear" w:color="auto" w:fill="FFFFFF"/>
        <w:ind w:firstLine="480"/>
        <w:rPr>
          <w:rFonts w:hint="eastAsia" w:ascii="黑体" w:hAnsi="黑体" w:eastAsia="黑体" w:cs="黑体"/>
          <w:b w:val="0"/>
          <w:bCs w:val="0"/>
          <w:color w:val="000000"/>
          <w:kern w:val="0"/>
          <w:sz w:val="32"/>
          <w:szCs w:val="32"/>
        </w:rPr>
      </w:pPr>
    </w:p>
    <w:p>
      <w:pPr>
        <w:widowControl/>
        <w:shd w:val="clear" w:color="auto" w:fill="FFFFFF"/>
        <w:ind w:firstLine="480"/>
        <w:rPr>
          <w:rFonts w:hint="eastAsia" w:ascii="黑体" w:hAnsi="黑体" w:eastAsia="黑体" w:cs="黑体"/>
          <w:b w:val="0"/>
          <w:bCs w:val="0"/>
          <w:color w:val="000000"/>
          <w:kern w:val="0"/>
          <w:sz w:val="32"/>
          <w:szCs w:val="32"/>
        </w:rPr>
      </w:pPr>
    </w:p>
    <w:p>
      <w:pPr>
        <w:widowControl/>
        <w:shd w:val="clear" w:color="auto" w:fill="FFFFFF"/>
        <w:ind w:firstLine="480"/>
        <w:rPr>
          <w:rFonts w:hint="eastAsia" w:ascii="黑体" w:hAnsi="黑体" w:eastAsia="黑体" w:cs="黑体"/>
          <w:b w:val="0"/>
          <w:bCs w:val="0"/>
          <w:color w:val="000000"/>
          <w:kern w:val="0"/>
          <w:sz w:val="32"/>
          <w:szCs w:val="32"/>
        </w:rPr>
      </w:pPr>
    </w:p>
    <w:p>
      <w:pPr>
        <w:widowControl/>
        <w:shd w:val="clear" w:color="auto" w:fill="FFFFFF"/>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三、收到和处理政府信息公开申请情况</w:t>
      </w:r>
    </w:p>
    <w:p>
      <w:pPr>
        <w:widowControl/>
        <w:shd w:val="clear" w:color="auto" w:fill="FFFFFF"/>
        <w:ind w:firstLine="480"/>
        <w:rPr>
          <w:rFonts w:hint="eastAsia" w:ascii="宋体" w:hAnsi="宋体" w:eastAsia="宋体" w:cs="宋体"/>
          <w:color w:val="000000"/>
          <w:kern w:val="0"/>
          <w:sz w:val="24"/>
          <w:szCs w:val="24"/>
        </w:rPr>
      </w:pPr>
    </w:p>
    <w:tbl>
      <w:tblPr>
        <w:tblStyle w:val="6"/>
        <w:tblW w:w="9748" w:type="dxa"/>
        <w:jc w:val="center"/>
        <w:tblLayout w:type="autofit"/>
        <w:tblCellMar>
          <w:top w:w="0" w:type="dxa"/>
          <w:left w:w="0" w:type="dxa"/>
          <w:bottom w:w="0" w:type="dxa"/>
          <w:right w:w="0" w:type="dxa"/>
        </w:tblCellMar>
      </w:tblPr>
      <w:tblGrid>
        <w:gridCol w:w="766"/>
        <w:gridCol w:w="942"/>
        <w:gridCol w:w="3216"/>
        <w:gridCol w:w="688"/>
        <w:gridCol w:w="688"/>
        <w:gridCol w:w="688"/>
        <w:gridCol w:w="688"/>
        <w:gridCol w:w="688"/>
        <w:gridCol w:w="688"/>
        <w:gridCol w:w="696"/>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714"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3570" w:type="dxa"/>
            <w:gridSpan w:val="5"/>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企业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机构</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0" w:type="auto"/>
            <w:vMerge w:val="continue"/>
            <w:tcBorders>
              <w:top w:val="single"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3</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3</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（一）予以公开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3</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3</w:t>
            </w:r>
            <w:r>
              <w:rPr>
                <w:rFonts w:ascii="Calibri" w:hAnsi="Calibri" w:eastAsia="宋体"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（二）部分公开</w:t>
            </w:r>
            <w:r>
              <w:rPr>
                <w:rFonts w:hint="eastAsia" w:ascii="楷体" w:hAnsi="楷体" w:eastAsia="楷体" w:cs="宋体"/>
                <w:color w:val="000000"/>
                <w:kern w:val="0"/>
                <w:sz w:val="20"/>
                <w:szCs w:val="20"/>
              </w:rPr>
              <w:t>（区分处理的，只计这一情形，不计其他情形）</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240" w:lineRule="auto"/>
              <w:jc w:val="distribute"/>
              <w:rPr>
                <w:rFonts w:hint="eastAsia" w:ascii="Calibri" w:hAnsi="Calibri" w:cs="宋体"/>
                <w:color w:val="000000"/>
                <w:kern w:val="0"/>
                <w:sz w:val="20"/>
                <w:szCs w:val="20"/>
                <w:lang w:val="en-US" w:eastAsia="zh-CN"/>
              </w:rPr>
            </w:pPr>
          </w:p>
          <w:p>
            <w:pPr>
              <w:widowControl/>
              <w:spacing w:line="240" w:lineRule="auto"/>
              <w:jc w:val="distribute"/>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（三）不予公开</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1.属于国家秘密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eastAsia="zh-CN"/>
              </w:rPr>
            </w:pPr>
            <w:r>
              <w:rPr>
                <w:rFonts w:hint="eastAsia" w:ascii="Calibri" w:hAnsi="Calibri" w:cs="宋体"/>
                <w:color w:val="000000"/>
                <w:kern w:val="0"/>
                <w:sz w:val="20"/>
                <w:szCs w:val="20"/>
                <w:lang w:val="en-US" w:eastAsia="zh-CN"/>
              </w:rPr>
              <w:t>0</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2.其他法律行政法规禁止公开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3.危及“三安全一稳定”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4.保护第三方合法权益</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5.属于三类内部事务信息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6.属于四类过程性信息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7.属于行政执法案卷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8.属于行政查询事项</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（四）无法提供</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1.本机关不掌握相关政府信息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eastAsia="zh-CN"/>
              </w:rPr>
            </w:pP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2.没有现成信息需要另行制作</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trHeight w:val="321" w:hRule="atLeast"/>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3.补正后申请内容仍不明确</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（五）不予处理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1.信访举报投诉类申请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3.要求提供公开出版物</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4.无正当理由大量反复申请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5.要求行政机关确认或重新出具已获取信息</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inset"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（六）其他处理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cs="宋体"/>
                <w:color w:val="000000"/>
                <w:kern w:val="0"/>
                <w:sz w:val="20"/>
                <w:szCs w:val="20"/>
                <w:lang w:val="en-US" w:eastAsia="zh-CN"/>
              </w:rPr>
            </w:pPr>
          </w:p>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Calibri" w:hAnsi="Calibri" w:eastAsia="宋体" w:cs="宋体"/>
                <w:color w:val="000000"/>
                <w:kern w:val="0"/>
                <w:sz w:val="20"/>
                <w:szCs w:val="20"/>
              </w:rPr>
            </w:pPr>
          </w:p>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3.其他</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（七）总计</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3</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3</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ind w:firstLine="240" w:firstLineChars="100"/>
              <w:jc w:val="lef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0</w:t>
            </w:r>
          </w:p>
        </w:tc>
      </w:tr>
    </w:tbl>
    <w:p>
      <w:pPr>
        <w:widowControl/>
        <w:shd w:val="clear" w:color="auto" w:fill="FFFFFF"/>
        <w:jc w:val="center"/>
        <w:rPr>
          <w:rFonts w:hint="eastAsia" w:ascii="宋体" w:hAnsi="宋体" w:eastAsia="宋体" w:cs="宋体"/>
          <w:color w:val="000000"/>
          <w:kern w:val="0"/>
          <w:sz w:val="24"/>
          <w:szCs w:val="24"/>
        </w:rPr>
      </w:pPr>
    </w:p>
    <w:p>
      <w:pPr>
        <w:widowControl/>
        <w:shd w:val="clear" w:color="auto" w:fill="FFFFFF"/>
        <w:ind w:firstLine="480"/>
        <w:rPr>
          <w:rFonts w:hint="eastAsia" w:ascii="黑体" w:hAnsi="黑体" w:eastAsia="黑体" w:cs="黑体"/>
          <w:b w:val="0"/>
          <w:bCs w:val="0"/>
          <w:color w:val="000000"/>
          <w:kern w:val="0"/>
          <w:sz w:val="32"/>
          <w:szCs w:val="32"/>
        </w:rPr>
      </w:pPr>
    </w:p>
    <w:p>
      <w:pPr>
        <w:widowControl/>
        <w:shd w:val="clear" w:color="auto" w:fill="FFFFFF"/>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四、政府信息公开行政复议、行政诉讼情况</w:t>
      </w:r>
    </w:p>
    <w:p>
      <w:pPr>
        <w:widowControl/>
        <w:shd w:val="clear" w:color="auto" w:fill="FFFFFF"/>
        <w:jc w:val="center"/>
        <w:rPr>
          <w:rFonts w:hint="eastAsia" w:ascii="宋体" w:hAnsi="宋体" w:eastAsia="宋体" w:cs="宋体"/>
          <w:color w:val="000000"/>
          <w:kern w:val="0"/>
          <w:sz w:val="24"/>
          <w:szCs w:val="24"/>
        </w:rPr>
      </w:pP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尚未</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尚未</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尚未</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r>
    </w:tbl>
    <w:p>
      <w:pPr>
        <w:widowControl/>
        <w:jc w:val="left"/>
        <w:rPr>
          <w:rFonts w:hint="eastAsia" w:ascii="宋体" w:hAnsi="宋体" w:eastAsia="宋体" w:cs="宋体"/>
          <w:color w:val="000000"/>
          <w:kern w:val="0"/>
          <w:sz w:val="24"/>
          <w:szCs w:val="24"/>
        </w:rPr>
      </w:pPr>
    </w:p>
    <w:p>
      <w:pPr>
        <w:widowControl/>
        <w:shd w:val="clear" w:color="auto" w:fill="FFFFFF"/>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80" w:firstLineChars="200"/>
        <w:jc w:val="both"/>
        <w:textAlignment w:val="auto"/>
        <w:rPr>
          <w:rFonts w:hint="eastAsia" w:ascii="仿宋_GB2312" w:hAnsi="仿宋_GB2312" w:eastAsia="仿宋_GB2312" w:cs="仿宋_GB2312"/>
          <w:kern w:val="0"/>
          <w:sz w:val="34"/>
          <w:szCs w:val="34"/>
          <w:lang w:val="en-US" w:eastAsia="zh-CN" w:bidi="ar"/>
        </w:rPr>
      </w:pPr>
      <w:r>
        <w:rPr>
          <w:rFonts w:hint="eastAsia" w:ascii="仿宋_GB2312" w:hAnsi="仿宋_GB2312" w:eastAsia="仿宋_GB2312" w:cs="仿宋_GB2312"/>
          <w:kern w:val="0"/>
          <w:sz w:val="34"/>
          <w:szCs w:val="34"/>
          <w:lang w:val="en-US" w:eastAsia="zh-CN" w:bidi="ar"/>
        </w:rPr>
        <w:t>2022年，我们在政府信息公开工作虽然取得了一定成效，但与《中华人民共和国政府信息公开条例》要求和公众需求相比还存在一定差距。主要表现在：信息公开的工作制度和程序有待进一步完善，部分领域信息公开还不够全面及时，政府信息公开业务水平还需提高。2023年，我们将从以下几个方面改进：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80" w:firstLineChars="200"/>
        <w:jc w:val="both"/>
        <w:textAlignment w:val="auto"/>
        <w:rPr>
          <w:rFonts w:hint="eastAsia" w:ascii="仿宋_GB2312" w:hAnsi="仿宋_GB2312" w:eastAsia="仿宋_GB2312" w:cs="仿宋_GB2312"/>
          <w:kern w:val="0"/>
          <w:sz w:val="34"/>
          <w:szCs w:val="34"/>
          <w:lang w:val="en-US" w:eastAsia="zh-CN" w:bidi="ar"/>
        </w:rPr>
      </w:pPr>
      <w:r>
        <w:rPr>
          <w:rFonts w:hint="eastAsia" w:ascii="仿宋_GB2312" w:hAnsi="仿宋_GB2312" w:eastAsia="仿宋_GB2312" w:cs="仿宋_GB2312"/>
          <w:kern w:val="0"/>
          <w:sz w:val="34"/>
          <w:szCs w:val="34"/>
          <w:lang w:val="en-US" w:eastAsia="zh-CN" w:bidi="ar"/>
        </w:rPr>
        <w:t>（一）加强政府信息公开标准化管理。全面梳理信息公开内容，继续推进信息公开标准化工作，确保各类主动公开内容设置合理、界定清晰、标准明确。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80" w:firstLineChars="200"/>
        <w:jc w:val="both"/>
        <w:textAlignment w:val="auto"/>
        <w:rPr>
          <w:rFonts w:hint="eastAsia" w:ascii="仿宋_GB2312" w:hAnsi="仿宋_GB2312" w:eastAsia="仿宋_GB2312" w:cs="仿宋_GB2312"/>
          <w:kern w:val="0"/>
          <w:sz w:val="34"/>
          <w:szCs w:val="34"/>
          <w:lang w:val="en-US" w:eastAsia="zh-CN" w:bidi="ar"/>
        </w:rPr>
      </w:pPr>
      <w:r>
        <w:rPr>
          <w:rFonts w:hint="eastAsia" w:ascii="仿宋_GB2312" w:hAnsi="仿宋_GB2312" w:eastAsia="仿宋_GB2312" w:cs="仿宋_GB2312"/>
          <w:kern w:val="0"/>
          <w:sz w:val="34"/>
          <w:szCs w:val="34"/>
          <w:lang w:val="en-US" w:eastAsia="zh-CN" w:bidi="ar"/>
        </w:rPr>
        <w:t>（二）加大重点领域信息公开力度。围绕社会关注、群众关心的难点、热点，依法、及时、准确地做好重点领域信息公开，切实保障群众的知情权、参与权、监督权和表达权。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80" w:firstLineChars="200"/>
        <w:jc w:val="both"/>
        <w:textAlignment w:val="auto"/>
        <w:rPr>
          <w:rFonts w:hint="eastAsia" w:ascii="仿宋_GB2312" w:hAnsi="仿宋_GB2312" w:eastAsia="仿宋_GB2312" w:cs="仿宋_GB2312"/>
          <w:kern w:val="0"/>
          <w:sz w:val="34"/>
          <w:szCs w:val="34"/>
          <w:lang w:val="en-US" w:eastAsia="zh-CN" w:bidi="ar"/>
        </w:rPr>
      </w:pPr>
      <w:r>
        <w:rPr>
          <w:rFonts w:hint="eastAsia" w:ascii="仿宋_GB2312" w:hAnsi="仿宋_GB2312" w:eastAsia="仿宋_GB2312" w:cs="仿宋_GB2312"/>
          <w:kern w:val="0"/>
          <w:sz w:val="34"/>
          <w:szCs w:val="34"/>
          <w:lang w:val="en-US" w:eastAsia="zh-CN" w:bidi="ar"/>
        </w:rPr>
        <w:t>（三）强化政府信息公开业务培训。定期开展政府信息公开业务知识培训，学习《条例》和上级文件精神，正确把握主动公开、依申请公开的范围和程序，熟练掌握网上公开技能，切实提高工作人员业务水平，促进信息公开工作健康有序开展。 </w:t>
      </w:r>
    </w:p>
    <w:p>
      <w:pPr>
        <w:widowControl/>
        <w:shd w:val="clear" w:color="auto" w:fill="FFFFFF"/>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360" w:lineRule="auto"/>
        <w:ind w:firstLine="680" w:firstLineChars="200"/>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无。</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2ZmYmQ0YmZhNGMyMDBiNGI3MzYzODJlYTYxZjUifQ=="/>
  </w:docVars>
  <w:rsids>
    <w:rsidRoot w:val="00015BB7"/>
    <w:rsid w:val="00015BB7"/>
    <w:rsid w:val="001B5072"/>
    <w:rsid w:val="002B73FD"/>
    <w:rsid w:val="00466BE6"/>
    <w:rsid w:val="00486540"/>
    <w:rsid w:val="005613FF"/>
    <w:rsid w:val="008858CA"/>
    <w:rsid w:val="00BC62C8"/>
    <w:rsid w:val="00C660C3"/>
    <w:rsid w:val="00C85721"/>
    <w:rsid w:val="00DC1DB0"/>
    <w:rsid w:val="00EA2D20"/>
    <w:rsid w:val="00EB41E2"/>
    <w:rsid w:val="00F32B71"/>
    <w:rsid w:val="00F96657"/>
    <w:rsid w:val="09051746"/>
    <w:rsid w:val="0E482CCF"/>
    <w:rsid w:val="117D4B05"/>
    <w:rsid w:val="1425581C"/>
    <w:rsid w:val="1713195E"/>
    <w:rsid w:val="17DF0476"/>
    <w:rsid w:val="1B686F9F"/>
    <w:rsid w:val="1B68711F"/>
    <w:rsid w:val="1CFD6AAF"/>
    <w:rsid w:val="1FB2483B"/>
    <w:rsid w:val="22D3EFE2"/>
    <w:rsid w:val="2B591CE7"/>
    <w:rsid w:val="2C0E2AD1"/>
    <w:rsid w:val="2E221E1D"/>
    <w:rsid w:val="2E4974D5"/>
    <w:rsid w:val="3957205E"/>
    <w:rsid w:val="3AEA4709"/>
    <w:rsid w:val="3BDEA4FA"/>
    <w:rsid w:val="3D468FDB"/>
    <w:rsid w:val="3DC7452D"/>
    <w:rsid w:val="3EC534C3"/>
    <w:rsid w:val="3EFDFDF0"/>
    <w:rsid w:val="455C4456"/>
    <w:rsid w:val="48A67764"/>
    <w:rsid w:val="4A39214E"/>
    <w:rsid w:val="4C45489B"/>
    <w:rsid w:val="4E6F9B11"/>
    <w:rsid w:val="52AC5529"/>
    <w:rsid w:val="57EE3633"/>
    <w:rsid w:val="59DD63C3"/>
    <w:rsid w:val="5F7C99E0"/>
    <w:rsid w:val="6BCF3297"/>
    <w:rsid w:val="6FD77C1E"/>
    <w:rsid w:val="6FFFB462"/>
    <w:rsid w:val="73EDF05D"/>
    <w:rsid w:val="7AA53D29"/>
    <w:rsid w:val="7BFFF2DD"/>
    <w:rsid w:val="7F79212F"/>
    <w:rsid w:val="A7DE5CC8"/>
    <w:rsid w:val="B63F35D1"/>
    <w:rsid w:val="CFFB8345"/>
    <w:rsid w:val="DF7AA9F6"/>
    <w:rsid w:val="E7F5F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Hyperlink"/>
    <w:basedOn w:val="7"/>
    <w:autoRedefine/>
    <w:qFormat/>
    <w:uiPriority w:val="0"/>
    <w:rPr>
      <w:color w:val="0000FF"/>
      <w:u w:val="single"/>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customStyle="1" w:styleId="11">
    <w:name w:val="页眉 Char"/>
    <w:basedOn w:val="7"/>
    <w:link w:val="4"/>
    <w:autoRedefine/>
    <w:semiHidden/>
    <w:qFormat/>
    <w:uiPriority w:val="99"/>
    <w:rPr>
      <w:rFonts w:ascii="Times New Roman" w:hAnsi="Times New Roman" w:eastAsia="宋体" w:cs="Times New Roman"/>
      <w:sz w:val="18"/>
      <w:szCs w:val="18"/>
    </w:rPr>
  </w:style>
  <w:style w:type="character" w:customStyle="1" w:styleId="12">
    <w:name w:val="页脚 Char"/>
    <w:basedOn w:val="7"/>
    <w:link w:val="3"/>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2153</Words>
  <Characters>2232</Characters>
  <Lines>41</Lines>
  <Paragraphs>11</Paragraphs>
  <TotalTime>5</TotalTime>
  <ScaleCrop>false</ScaleCrop>
  <LinksUpToDate>false</LinksUpToDate>
  <CharactersWithSpaces>2404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2021-01-13T01:12:00Z</dcterms:created>
  <dc:creator>Windows User</dc:creator>
  <cp:lastModifiedBy>Liu yi</cp:lastModifiedBy>
  <cp:lastPrinted>2023-01-09T01:55:00Z</cp:lastPrinted>
  <dcterms:modified xsi:type="dcterms:W3CDTF">2024-02-01T01:47:36Z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3566249A2D3942AA92F41D7E42CFB63E</vt:lpwstr>
  </property>
</Properties>
</file>