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eastAsia="方正小标宋简体"/>
          <w:sz w:val="44"/>
          <w:szCs w:val="44"/>
        </w:rPr>
      </w:pPr>
      <w:bookmarkStart w:id="1" w:name="_GoBack"/>
      <w:bookmarkEnd w:id="1"/>
      <w:r>
        <w:rPr>
          <w:rFonts w:hint="eastAsia" w:ascii="Times New Roman" w:hAnsi="Times New Roman" w:eastAsia="方正小标宋简体"/>
          <w:sz w:val="44"/>
          <w:szCs w:val="44"/>
        </w:rPr>
        <w:t>古林街</w:t>
      </w:r>
      <w:r>
        <w:rPr>
          <w:rFonts w:ascii="Times New Roman" w:hAnsi="Times New Roman" w:eastAsia="方正小标宋简体"/>
          <w:sz w:val="44"/>
          <w:szCs w:val="44"/>
        </w:rPr>
        <w:t>202</w:t>
      </w:r>
      <w:r>
        <w:rPr>
          <w:rFonts w:hint="eastAsia" w:ascii="Times New Roman" w:hAnsi="Times New Roman" w:eastAsia="方正小标宋简体"/>
          <w:sz w:val="44"/>
          <w:szCs w:val="44"/>
        </w:rPr>
        <w:t>3</w:t>
      </w:r>
      <w:r>
        <w:rPr>
          <w:rFonts w:ascii="Times New Roman" w:hAnsi="Times New Roman" w:eastAsia="方正小标宋简体"/>
          <w:sz w:val="44"/>
          <w:szCs w:val="44"/>
        </w:rPr>
        <w:t>年农作物秸秆综合利用</w:t>
      </w:r>
    </w:p>
    <w:p>
      <w:pPr>
        <w:spacing w:line="600" w:lineRule="exact"/>
        <w:jc w:val="center"/>
        <w:rPr>
          <w:rFonts w:hint="eastAsia" w:ascii="Times New Roman" w:hAnsi="Times New Roman" w:eastAsia="方正小标宋简体"/>
          <w:sz w:val="44"/>
          <w:szCs w:val="44"/>
          <w:lang w:val="en"/>
        </w:rPr>
      </w:pPr>
      <w:r>
        <w:rPr>
          <w:rFonts w:ascii="Times New Roman" w:hAnsi="Times New Roman" w:eastAsia="方正小标宋简体"/>
          <w:sz w:val="44"/>
          <w:szCs w:val="44"/>
        </w:rPr>
        <w:t>工作方案</w:t>
      </w:r>
    </w:p>
    <w:p>
      <w:pPr>
        <w:jc w:val="center"/>
        <w:rPr>
          <w:rFonts w:ascii="Times New Roman" w:hAnsi="Times New Roman" w:eastAsia="方正小标宋简体"/>
          <w:sz w:val="16"/>
          <w:szCs w:val="16"/>
        </w:rPr>
      </w:pPr>
    </w:p>
    <w:p>
      <w:pPr>
        <w:spacing w:line="360" w:lineRule="auto"/>
        <w:ind w:firstLine="640" w:firstLineChars="200"/>
        <w:rPr>
          <w:rFonts w:ascii="仿宋" w:hAnsi="仿宋" w:eastAsia="仿宋"/>
          <w:sz w:val="32"/>
          <w:szCs w:val="32"/>
        </w:rPr>
      </w:pPr>
      <w:r>
        <w:rPr>
          <w:rFonts w:hint="eastAsia" w:ascii="仿宋" w:hAnsi="仿宋" w:eastAsia="仿宋" w:cs="仿宋"/>
          <w:sz w:val="32"/>
          <w:szCs w:val="32"/>
        </w:rPr>
        <w:t>为进一步推进农作物秸秆综合利用工作，防止秸秆焚烧污染环境，保护生态</w:t>
      </w:r>
      <w:bookmarkStart w:id="0" w:name="_GoBack"/>
      <w:bookmarkEnd w:id="0"/>
      <w:r>
        <w:rPr>
          <w:rFonts w:hint="eastAsia" w:ascii="仿宋" w:hAnsi="仿宋" w:eastAsia="仿宋" w:cs="仿宋"/>
          <w:sz w:val="32"/>
          <w:szCs w:val="32"/>
        </w:rPr>
        <w:t>环境，按照《滨海新区2023年农作物秸秆综合利用工作方案》的要求，结合我街生产实际，特制定本工作方案。</w:t>
      </w:r>
    </w:p>
    <w:p>
      <w:pPr>
        <w:widowControl/>
        <w:shd w:val="clear" w:color="auto" w:fill="FFFFFF"/>
        <w:spacing w:line="360" w:lineRule="auto"/>
        <w:ind w:firstLine="640" w:firstLineChars="200"/>
        <w:rPr>
          <w:rFonts w:hint="eastAsia" w:ascii="仿宋" w:hAnsi="仿宋" w:eastAsia="仿宋"/>
          <w:sz w:val="32"/>
          <w:szCs w:val="32"/>
        </w:rPr>
      </w:pPr>
      <w:r>
        <w:rPr>
          <w:rFonts w:ascii="仿宋" w:hAnsi="仿宋" w:eastAsia="仿宋"/>
          <w:sz w:val="32"/>
          <w:szCs w:val="32"/>
        </w:rPr>
        <w:t>一、指导思想</w:t>
      </w:r>
    </w:p>
    <w:p>
      <w:pPr>
        <w:spacing w:line="360" w:lineRule="auto"/>
        <w:ind w:firstLine="640" w:firstLineChars="200"/>
        <w:rPr>
          <w:rFonts w:hint="eastAsia" w:ascii="仿宋" w:hAnsi="仿宋" w:eastAsia="仿宋"/>
          <w:color w:val="000000"/>
          <w:sz w:val="32"/>
          <w:szCs w:val="32"/>
        </w:rPr>
      </w:pPr>
      <w:r>
        <w:rPr>
          <w:rFonts w:ascii="仿宋" w:hAnsi="仿宋" w:eastAsia="仿宋"/>
          <w:color w:val="000000"/>
          <w:sz w:val="32"/>
          <w:szCs w:val="32"/>
        </w:rPr>
        <w:t>以习近平新时代中国特色社会主义思想为指导，全面贯彻党的二十大精神，深入贯彻落实习近平总书记关于生态文明的重要论述，以实施乡村振兴战略为目标，以绿色发展和支持复种为引领，坚持政府主导、规划引领、政策扶持、科技支撑、疏堵结合、依法治理的原则，通过法律、行政、经济、科技等手段，发挥市场机制作用，推进秸秆资源化、商品化利用，形成布局合理、多元利用的格局，促进资源节约、环境保护、农民增收和农业可持续发展。</w:t>
      </w:r>
    </w:p>
    <w:p>
      <w:pPr>
        <w:spacing w:line="360" w:lineRule="auto"/>
        <w:ind w:firstLine="640" w:firstLineChars="200"/>
        <w:jc w:val="left"/>
        <w:rPr>
          <w:rFonts w:ascii="仿宋" w:hAnsi="仿宋" w:eastAsia="仿宋" w:cs="仿宋"/>
          <w:bCs/>
          <w:sz w:val="32"/>
          <w:szCs w:val="32"/>
        </w:rPr>
      </w:pPr>
      <w:r>
        <w:rPr>
          <w:rFonts w:hint="eastAsia" w:ascii="仿宋" w:hAnsi="仿宋" w:eastAsia="仿宋" w:cs="仿宋"/>
          <w:bCs/>
          <w:sz w:val="32"/>
          <w:szCs w:val="32"/>
        </w:rPr>
        <w:t>二、工作任务</w:t>
      </w:r>
    </w:p>
    <w:p>
      <w:pPr>
        <w:shd w:val="clear" w:color="auto" w:fill="FFFFFF"/>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（一）小麦秸秆综合利用。以机械化粉碎还田作为综合利用的重要途径，实现全量化利用。</w:t>
      </w:r>
    </w:p>
    <w:p>
      <w:pPr>
        <w:pStyle w:val="6"/>
        <w:tabs>
          <w:tab w:val="left" w:pos="312"/>
        </w:tabs>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（二）玉米秸秆综合利用。玉米秸秆以机械化粉碎还田肥料化利用为主，利用率95%以上。</w:t>
      </w:r>
    </w:p>
    <w:p>
      <w:pPr>
        <w:pStyle w:val="2"/>
        <w:snapToGrid w:val="0"/>
        <w:spacing w:line="360" w:lineRule="auto"/>
        <w:ind w:firstLine="640"/>
        <w:rPr>
          <w:rFonts w:hint="eastAsia" w:ascii="仿宋" w:hAnsi="仿宋" w:eastAsia="仿宋" w:cs="仿宋"/>
          <w:sz w:val="32"/>
        </w:rPr>
      </w:pPr>
      <w:r>
        <w:rPr>
          <w:rFonts w:hint="eastAsia" w:ascii="仿宋" w:hAnsi="仿宋" w:eastAsia="仿宋" w:cs="仿宋"/>
          <w:sz w:val="32"/>
        </w:rPr>
        <w:t>主要实施秸秆肥料化利用，按照“就地处理、循环利用、方便快捷”的原则，推进保护性耕作技术应用，将粉碎还田作为小麦、玉米等秸秆处理利用的主要途径。</w:t>
      </w:r>
    </w:p>
    <w:p>
      <w:pPr>
        <w:pStyle w:val="6"/>
        <w:snapToGrid w:val="0"/>
        <w:spacing w:line="360" w:lineRule="auto"/>
        <w:ind w:firstLine="640" w:firstLineChars="200"/>
        <w:jc w:val="both"/>
        <w:rPr>
          <w:rFonts w:ascii="仿宋" w:hAnsi="仿宋" w:eastAsia="仿宋" w:cs="仿宋"/>
          <w:bCs/>
          <w:sz w:val="32"/>
          <w:szCs w:val="32"/>
        </w:rPr>
      </w:pPr>
      <w:r>
        <w:rPr>
          <w:rFonts w:hint="eastAsia" w:ascii="仿宋" w:hAnsi="仿宋" w:eastAsia="仿宋" w:cs="仿宋"/>
          <w:bCs/>
          <w:sz w:val="32"/>
          <w:szCs w:val="32"/>
        </w:rPr>
        <w:t>三、补贴标准</w:t>
      </w:r>
    </w:p>
    <w:p>
      <w:pPr>
        <w:shd w:val="clear" w:color="auto" w:fill="FFFFFF"/>
        <w:snapToGrid w:val="0"/>
        <w:spacing w:line="360" w:lineRule="auto"/>
        <w:ind w:firstLine="672" w:firstLineChars="210"/>
        <w:rPr>
          <w:rFonts w:ascii="仿宋" w:hAnsi="仿宋" w:eastAsia="仿宋" w:cs="仿宋"/>
          <w:sz w:val="32"/>
          <w:szCs w:val="32"/>
        </w:rPr>
      </w:pPr>
      <w:r>
        <w:rPr>
          <w:rFonts w:hint="eastAsia" w:ascii="仿宋" w:hAnsi="仿宋" w:eastAsia="仿宋" w:cs="仿宋"/>
          <w:sz w:val="32"/>
          <w:szCs w:val="32"/>
        </w:rPr>
        <w:t>依据《滨海新区2023农作物秸秆综合利用工作方案》，对上述重点任务落实给予适当的财政资金支持。具体如下：</w:t>
      </w:r>
    </w:p>
    <w:p>
      <w:pPr>
        <w:pStyle w:val="6"/>
        <w:snapToGrid w:val="0"/>
        <w:spacing w:line="360" w:lineRule="auto"/>
        <w:ind w:firstLine="640" w:firstLineChars="200"/>
        <w:jc w:val="both"/>
        <w:rPr>
          <w:rFonts w:ascii="仿宋" w:hAnsi="仿宋" w:eastAsia="仿宋" w:cs="仿宋"/>
          <w:sz w:val="32"/>
          <w:szCs w:val="32"/>
        </w:rPr>
      </w:pPr>
      <w:r>
        <w:rPr>
          <w:rFonts w:hint="eastAsia" w:ascii="仿宋" w:hAnsi="仿宋" w:eastAsia="仿宋" w:cs="仿宋"/>
          <w:sz w:val="32"/>
          <w:szCs w:val="32"/>
        </w:rPr>
        <w:t>对小麦、玉米实施秸秆机械化粉碎还田，市财政和新区财政按一定标准给予定额作业补助，其中：对小麦实施秸秆粉碎还田作业的给予每亩15元的补助；对玉米（不含当年深松秋季作业的地块）实施秸秆粉碎还田作业并及时进行机耕覆盖作业的给予每亩32元的补助。</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四、农作物秸秆综合利用技术路线</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 xml:space="preserve">（一）玉米收获机收获作业→秸秆粉碎还田作业→机耕覆盖→机播下茬作物。  </w:t>
      </w:r>
    </w:p>
    <w:p>
      <w:pPr>
        <w:spacing w:line="360" w:lineRule="auto"/>
        <w:ind w:firstLine="640" w:firstLineChars="200"/>
        <w:rPr>
          <w:rFonts w:ascii="仿宋" w:hAnsi="仿宋" w:eastAsia="仿宋" w:cs="仿宋"/>
          <w:kern w:val="0"/>
          <w:sz w:val="32"/>
          <w:szCs w:val="32"/>
        </w:rPr>
      </w:pPr>
      <w:r>
        <w:rPr>
          <w:rFonts w:hint="eastAsia" w:ascii="仿宋" w:hAnsi="仿宋" w:eastAsia="仿宋" w:cs="仿宋"/>
          <w:kern w:val="0"/>
          <w:sz w:val="32"/>
          <w:szCs w:val="32"/>
        </w:rPr>
        <w:t>（二）小麦秸秆还田作业技术路线：小麦联合收割机收获→小麦秸秆粉碎抛洒还田→免耕播种。</w:t>
      </w:r>
    </w:p>
    <w:p>
      <w:pPr>
        <w:spacing w:line="360" w:lineRule="auto"/>
        <w:ind w:left="638" w:leftChars="304"/>
        <w:rPr>
          <w:rFonts w:ascii="仿宋" w:hAnsi="仿宋" w:eastAsia="仿宋" w:cs="仿宋"/>
          <w:sz w:val="32"/>
          <w:szCs w:val="32"/>
        </w:rPr>
      </w:pPr>
      <w:r>
        <w:rPr>
          <w:rFonts w:hint="eastAsia" w:ascii="仿宋" w:hAnsi="仿宋" w:eastAsia="仿宋" w:cs="仿宋"/>
          <w:bCs/>
          <w:sz w:val="32"/>
          <w:szCs w:val="32"/>
        </w:rPr>
        <w:t>五、作业补助方式</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为确保补助资金高效安全使用，依据《滨海新区2023农作物秸秆综合利用工作方案》，2023年农作物秸秆综合利用作业补助资金仍按照“先作业、后补贴”的方式兑付。即：首先由承担项目作业的作业主体，实施农作物秸秆综合利用作业。作业完成后，项目实施逐一验收。验收合格后，区农委、区财政局，区农业农村发展服务中心、区农业综合执法支队和街道农业综合服务中心进行实地抽查验收。验收合格后，由区农业农村委向区财政局提出资金拨付申请。区财政局对资金结算涉及的项目实施内容复核无误后，及时拨付作业补助资金。</w:t>
      </w:r>
    </w:p>
    <w:p>
      <w:pPr>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六、职责分工</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一）街道农业综合服务中心负责科学制定本区域秸秆综合利用规划，将秸秆综合利用任务责任到村，将秸秆综合利用作业补贴拨付到作业主体。督导各村按季节完成秸秆综合利用任务,对辖区各村秸秆综合利用完成情况进行初验，并加强秸秆综合利用宣传工作，营造良好的社会舆论氛围。</w:t>
      </w:r>
    </w:p>
    <w:p>
      <w:pPr>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二）各村委会科学制定本村秸秆综合利用规划，将秸秆综合利用任务分配到各农业经营主体或作业主体，将秸秆综合利用作业补贴拨付到农业经营主体或农机作业主体。与所属农业经营主体签订秸秆综合利用协议，督导各农业经营主体按季节、按区农委确定秸秆综合利用技术路线完成秸秆综合利用任务。如实统计上报各类农作物种植面积等数据上报街道。加强网格化管理，加大巡查力度，重点时节安排全天候盯防，不得出现秸秆焚烧火点。</w:t>
      </w:r>
    </w:p>
    <w:p>
      <w:pPr>
        <w:widowControl/>
        <w:shd w:val="clear" w:color="auto" w:fill="FFFFFF"/>
        <w:spacing w:line="360" w:lineRule="auto"/>
        <w:ind w:firstLine="640" w:firstLineChars="200"/>
        <w:rPr>
          <w:rFonts w:ascii="仿宋" w:hAnsi="仿宋" w:eastAsia="仿宋" w:cs="仿宋"/>
          <w:bCs/>
          <w:sz w:val="32"/>
          <w:szCs w:val="32"/>
        </w:rPr>
      </w:pPr>
      <w:r>
        <w:rPr>
          <w:rFonts w:hint="eastAsia" w:ascii="仿宋" w:hAnsi="仿宋" w:eastAsia="仿宋" w:cs="仿宋"/>
          <w:bCs/>
          <w:sz w:val="32"/>
          <w:szCs w:val="32"/>
        </w:rPr>
        <w:t>七、保障措施</w:t>
      </w:r>
    </w:p>
    <w:p>
      <w:pPr>
        <w:widowControl/>
        <w:spacing w:line="360" w:lineRule="auto"/>
        <w:ind w:firstLine="640" w:firstLineChars="200"/>
        <w:jc w:val="left"/>
        <w:rPr>
          <w:rFonts w:ascii="仿宋" w:hAnsi="仿宋" w:eastAsia="仿宋" w:cs="仿宋"/>
          <w:sz w:val="32"/>
          <w:szCs w:val="32"/>
        </w:rPr>
      </w:pPr>
      <w:r>
        <w:rPr>
          <w:rFonts w:hint="eastAsia" w:ascii="仿宋" w:hAnsi="仿宋" w:eastAsia="仿宋" w:cs="仿宋"/>
          <w:sz w:val="32"/>
          <w:szCs w:val="32"/>
        </w:rPr>
        <w:t>（一）加强组织领导。成立由街道办事处工委书记任组长，分管农业街道办事处副主任为副组长，各相关科室及村委会主要负责同志为组员的工作领导小组。街道各部门互相配合，确保农作物秸秆综合利用工作顺利实施。</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二）加强巡查。加大对秸秆综合利用工作巡查力度，保证秸秆综合利用作业补贴专款专用，不得以任何理由挪用。对通报发现的秸秆焚烧火点严格核实，对田间出现秸秆焚烧火点的村或农业经营主体取消秸秆还田作业补贴。</w:t>
      </w:r>
    </w:p>
    <w:p>
      <w:pPr>
        <w:widowControl/>
        <w:adjustRightInd w:val="0"/>
        <w:snapToGrid w:val="0"/>
        <w:spacing w:line="360" w:lineRule="auto"/>
        <w:ind w:firstLine="640" w:firstLineChars="200"/>
        <w:rPr>
          <w:rFonts w:hint="eastAsia" w:ascii="仿宋" w:hAnsi="仿宋" w:eastAsia="仿宋" w:cs="仿宋"/>
          <w:sz w:val="32"/>
          <w:szCs w:val="32"/>
        </w:rPr>
      </w:pPr>
      <w:r>
        <w:rPr>
          <w:rFonts w:hint="eastAsia" w:ascii="仿宋" w:hAnsi="仿宋" w:eastAsia="仿宋" w:cs="仿宋"/>
          <w:sz w:val="32"/>
          <w:szCs w:val="32"/>
        </w:rPr>
        <w:t>（三）加大宣传。</w:t>
      </w:r>
      <w:r>
        <w:rPr>
          <w:rFonts w:ascii="仿宋" w:hAnsi="仿宋" w:eastAsia="仿宋"/>
          <w:sz w:val="32"/>
          <w:szCs w:val="32"/>
        </w:rPr>
        <w:t>加大对农作物秸秆综合利用的宣传</w:t>
      </w:r>
      <w:r>
        <w:rPr>
          <w:rFonts w:hint="eastAsia" w:ascii="仿宋" w:hAnsi="仿宋" w:eastAsia="仿宋"/>
          <w:sz w:val="32"/>
          <w:szCs w:val="32"/>
        </w:rPr>
        <w:t>，</w:t>
      </w:r>
      <w:r>
        <w:rPr>
          <w:rFonts w:ascii="仿宋" w:hAnsi="仿宋" w:eastAsia="仿宋"/>
          <w:sz w:val="32"/>
          <w:szCs w:val="32"/>
        </w:rPr>
        <w:t>营造秸秆综合利用和禁烧的良好舆论氛围和社会环境。通过下乡进村宣传、发放明白纸、悬挂标语横幅等形式，大力推广各类秸秆综合利用先进适用技术</w:t>
      </w:r>
      <w:r>
        <w:rPr>
          <w:rFonts w:hint="eastAsia" w:ascii="仿宋" w:hAnsi="仿宋" w:eastAsia="仿宋" w:cs="仿宋"/>
          <w:sz w:val="32"/>
          <w:szCs w:val="32"/>
        </w:rPr>
        <w:t>。</w:t>
      </w:r>
    </w:p>
    <w:p>
      <w:pPr>
        <w:pStyle w:val="2"/>
        <w:spacing w:line="360" w:lineRule="auto"/>
        <w:ind w:firstLine="420"/>
      </w:pPr>
    </w:p>
    <w:p>
      <w:pPr>
        <w:ind w:firstLine="660" w:firstLineChars="150"/>
        <w:jc w:val="center"/>
        <w:rPr>
          <w:rFonts w:hint="eastAsia" w:ascii="黑体" w:hAnsi="黑体" w:eastAsia="黑体"/>
          <w:sz w:val="44"/>
          <w:szCs w:val="44"/>
        </w:rPr>
      </w:pPr>
    </w:p>
    <w:p>
      <w:pPr>
        <w:widowControl/>
        <w:spacing w:line="600" w:lineRule="exact"/>
        <w:jc w:val="left"/>
        <w:rPr>
          <w:rFonts w:hint="eastAsia" w:ascii="仿宋_GB2312" w:hAnsi="仿宋" w:eastAsia="仿宋_GB2312" w:cs="仿宋"/>
          <w:sz w:val="32"/>
          <w:szCs w:val="32"/>
        </w:rPr>
      </w:pPr>
    </w:p>
    <w:sectPr>
      <w:headerReference r:id="rId3" w:type="default"/>
      <w:pgSz w:w="11906" w:h="16838"/>
      <w:pgMar w:top="1440" w:right="1558" w:bottom="1440" w:left="1246"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yMTE2N2FhNzg2NDUxYTYxOTI3NjQwNGQyMjk1Y2IifQ=="/>
  </w:docVars>
  <w:rsids>
    <w:rsidRoot w:val="001E729F"/>
    <w:rsid w:val="00016EB0"/>
    <w:rsid w:val="0002400C"/>
    <w:rsid w:val="000323AD"/>
    <w:rsid w:val="00042B39"/>
    <w:rsid w:val="000726EF"/>
    <w:rsid w:val="000769A7"/>
    <w:rsid w:val="000D7142"/>
    <w:rsid w:val="000E6AE9"/>
    <w:rsid w:val="00105D12"/>
    <w:rsid w:val="0012400D"/>
    <w:rsid w:val="0018731A"/>
    <w:rsid w:val="0019571A"/>
    <w:rsid w:val="001B1BA6"/>
    <w:rsid w:val="001E058F"/>
    <w:rsid w:val="001E729F"/>
    <w:rsid w:val="00247786"/>
    <w:rsid w:val="002A273C"/>
    <w:rsid w:val="002B126B"/>
    <w:rsid w:val="002B12B5"/>
    <w:rsid w:val="002F3691"/>
    <w:rsid w:val="002F45DD"/>
    <w:rsid w:val="003124E7"/>
    <w:rsid w:val="003A239E"/>
    <w:rsid w:val="003A3F70"/>
    <w:rsid w:val="003A7C96"/>
    <w:rsid w:val="003B4CCB"/>
    <w:rsid w:val="003D7CA7"/>
    <w:rsid w:val="00437C85"/>
    <w:rsid w:val="00462B2D"/>
    <w:rsid w:val="00471810"/>
    <w:rsid w:val="0047353C"/>
    <w:rsid w:val="00482829"/>
    <w:rsid w:val="004947E1"/>
    <w:rsid w:val="00532215"/>
    <w:rsid w:val="00534403"/>
    <w:rsid w:val="00597B44"/>
    <w:rsid w:val="005C2706"/>
    <w:rsid w:val="005F5B3E"/>
    <w:rsid w:val="005F6C82"/>
    <w:rsid w:val="00617401"/>
    <w:rsid w:val="00672091"/>
    <w:rsid w:val="00695CD2"/>
    <w:rsid w:val="006E2FE8"/>
    <w:rsid w:val="006F1044"/>
    <w:rsid w:val="006F2B56"/>
    <w:rsid w:val="007111F3"/>
    <w:rsid w:val="00733572"/>
    <w:rsid w:val="0076654C"/>
    <w:rsid w:val="00773C31"/>
    <w:rsid w:val="00807B20"/>
    <w:rsid w:val="00814000"/>
    <w:rsid w:val="00847DE9"/>
    <w:rsid w:val="00852C66"/>
    <w:rsid w:val="008644E4"/>
    <w:rsid w:val="00872FFA"/>
    <w:rsid w:val="008733B0"/>
    <w:rsid w:val="00873B89"/>
    <w:rsid w:val="00875037"/>
    <w:rsid w:val="00881B66"/>
    <w:rsid w:val="008C5463"/>
    <w:rsid w:val="008E71B8"/>
    <w:rsid w:val="00914CF4"/>
    <w:rsid w:val="00921C8C"/>
    <w:rsid w:val="00931814"/>
    <w:rsid w:val="009752C7"/>
    <w:rsid w:val="00992777"/>
    <w:rsid w:val="009A6242"/>
    <w:rsid w:val="009F3A67"/>
    <w:rsid w:val="00A22813"/>
    <w:rsid w:val="00A27583"/>
    <w:rsid w:val="00A36BA5"/>
    <w:rsid w:val="00A6588D"/>
    <w:rsid w:val="00AB7BB6"/>
    <w:rsid w:val="00AC3E8B"/>
    <w:rsid w:val="00B16778"/>
    <w:rsid w:val="00B3541F"/>
    <w:rsid w:val="00B362BF"/>
    <w:rsid w:val="00B5301D"/>
    <w:rsid w:val="00B83D37"/>
    <w:rsid w:val="00B8677C"/>
    <w:rsid w:val="00B907FC"/>
    <w:rsid w:val="00BB7818"/>
    <w:rsid w:val="00C239B8"/>
    <w:rsid w:val="00CE6661"/>
    <w:rsid w:val="00CF4B47"/>
    <w:rsid w:val="00D20352"/>
    <w:rsid w:val="00D5379D"/>
    <w:rsid w:val="00DA01C5"/>
    <w:rsid w:val="00DD010B"/>
    <w:rsid w:val="00E12EF4"/>
    <w:rsid w:val="00E16984"/>
    <w:rsid w:val="00E65062"/>
    <w:rsid w:val="00E8733D"/>
    <w:rsid w:val="00E91A05"/>
    <w:rsid w:val="00EA73A4"/>
    <w:rsid w:val="00EC3E92"/>
    <w:rsid w:val="00F17A5C"/>
    <w:rsid w:val="00F4564C"/>
    <w:rsid w:val="00F73AD8"/>
    <w:rsid w:val="00F76F27"/>
    <w:rsid w:val="00F96946"/>
    <w:rsid w:val="00FA4A34"/>
    <w:rsid w:val="00FC09BD"/>
    <w:rsid w:val="00FC28E3"/>
    <w:rsid w:val="00FC7DE6"/>
    <w:rsid w:val="041C1F4C"/>
    <w:rsid w:val="04C30DCD"/>
    <w:rsid w:val="0874077A"/>
    <w:rsid w:val="16A73A5C"/>
    <w:rsid w:val="1EFD521A"/>
    <w:rsid w:val="1FB151C8"/>
    <w:rsid w:val="1FFB6689"/>
    <w:rsid w:val="21D103FC"/>
    <w:rsid w:val="2267339F"/>
    <w:rsid w:val="246D2897"/>
    <w:rsid w:val="2BFE0B23"/>
    <w:rsid w:val="2D002FFA"/>
    <w:rsid w:val="36AC07D7"/>
    <w:rsid w:val="37DDB08A"/>
    <w:rsid w:val="397765B1"/>
    <w:rsid w:val="3A9FB2A5"/>
    <w:rsid w:val="3BB37A19"/>
    <w:rsid w:val="3BEBAC91"/>
    <w:rsid w:val="3F1F2CAA"/>
    <w:rsid w:val="3F4F6806"/>
    <w:rsid w:val="4AF65799"/>
    <w:rsid w:val="4BFDAF15"/>
    <w:rsid w:val="4DFD2138"/>
    <w:rsid w:val="5114114E"/>
    <w:rsid w:val="5CBD7114"/>
    <w:rsid w:val="5EBF7DFF"/>
    <w:rsid w:val="5FAF5D60"/>
    <w:rsid w:val="5FD79A93"/>
    <w:rsid w:val="5FEC46F5"/>
    <w:rsid w:val="60A705F7"/>
    <w:rsid w:val="66C02D74"/>
    <w:rsid w:val="68F92BBD"/>
    <w:rsid w:val="6A3614E2"/>
    <w:rsid w:val="6EFBDF8C"/>
    <w:rsid w:val="778BC0E5"/>
    <w:rsid w:val="78283E61"/>
    <w:rsid w:val="7967412C"/>
    <w:rsid w:val="7B774BF6"/>
    <w:rsid w:val="7DDD545A"/>
    <w:rsid w:val="7E7FFF08"/>
    <w:rsid w:val="7F1D492B"/>
    <w:rsid w:val="7F2EA0D9"/>
    <w:rsid w:val="7F367EDE"/>
    <w:rsid w:val="7F3EB12E"/>
    <w:rsid w:val="7FF206AF"/>
    <w:rsid w:val="7FFF4F64"/>
    <w:rsid w:val="7FFFC369"/>
    <w:rsid w:val="8FFA9649"/>
    <w:rsid w:val="9EF76077"/>
    <w:rsid w:val="9F3BE9EB"/>
    <w:rsid w:val="9F9FE322"/>
    <w:rsid w:val="9FD60330"/>
    <w:rsid w:val="9FFE96B4"/>
    <w:rsid w:val="A77D7528"/>
    <w:rsid w:val="B3ABDECD"/>
    <w:rsid w:val="B7FF1D78"/>
    <w:rsid w:val="B976290C"/>
    <w:rsid w:val="C5FBA1B3"/>
    <w:rsid w:val="D8FBF809"/>
    <w:rsid w:val="DCFFE325"/>
    <w:rsid w:val="DF97738E"/>
    <w:rsid w:val="EF7FE17B"/>
    <w:rsid w:val="EFFBB6D7"/>
    <w:rsid w:val="F76583A5"/>
    <w:rsid w:val="FB378035"/>
    <w:rsid w:val="FC4F98FC"/>
    <w:rsid w:val="FCBFCA39"/>
    <w:rsid w:val="FD9FD837"/>
    <w:rsid w:val="FE3B33E2"/>
    <w:rsid w:val="FF57D279"/>
    <w:rsid w:val="FF9FAB5E"/>
    <w:rsid w:val="FFB79507"/>
    <w:rsid w:val="FFFB2F5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character" w:default="1" w:styleId="8">
    <w:name w:val="Default Paragraph Font"/>
    <w:semiHidden/>
    <w:uiPriority w:val="0"/>
  </w:style>
  <w:style w:type="table" w:default="1" w:styleId="7">
    <w:name w:val="Normal Table"/>
    <w:semiHidden/>
    <w:uiPriority w:val="0"/>
    <w:tblPr>
      <w:tblStyle w:val="7"/>
      <w:tblCellMar>
        <w:top w:w="0" w:type="dxa"/>
        <w:left w:w="108" w:type="dxa"/>
        <w:bottom w:w="0" w:type="dxa"/>
        <w:right w:w="108" w:type="dxa"/>
      </w:tblCellMar>
    </w:tblPr>
  </w:style>
  <w:style w:type="paragraph" w:styleId="2">
    <w:name w:val="Body Text"/>
    <w:basedOn w:val="1"/>
    <w:qFormat/>
    <w:uiPriority w:val="0"/>
    <w:pPr>
      <w:spacing w:line="560" w:lineRule="exact"/>
      <w:ind w:firstLine="540" w:firstLineChars="200"/>
    </w:pPr>
    <w:rPr>
      <w:rFonts w:ascii="Calibri" w:hAnsi="Calibri" w:eastAsia="仿宋_GB2312" w:cs="Times New Roman"/>
      <w:szCs w:val="32"/>
    </w:rPr>
  </w:style>
  <w:style w:type="paragraph" w:styleId="3">
    <w:name w:val="Balloon Text"/>
    <w:basedOn w:val="1"/>
    <w:semiHidden/>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customStyle="1" w:styleId="9">
    <w:name w:val="页眉 Char"/>
    <w:basedOn w:val="8"/>
    <w:link w:val="5"/>
    <w:locked/>
    <w:uiPriority w:val="0"/>
    <w:rPr>
      <w:rFonts w:eastAsia="宋体"/>
      <w:kern w:val="2"/>
      <w:sz w:val="18"/>
      <w:szCs w:val="18"/>
      <w:lang w:val="en-US" w:eastAsia="zh-CN" w:bidi="ar-SA"/>
    </w:rPr>
  </w:style>
  <w:style w:type="paragraph" w:customStyle="1" w:styleId="10">
    <w:name w:val="_Style 2"/>
    <w:basedOn w:val="1"/>
    <w:uiPriority w:val="0"/>
  </w:style>
  <w:style w:type="paragraph" w:customStyle="1" w:styleId="11">
    <w:name w:val="Char"/>
    <w:basedOn w:val="1"/>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12">
    <w:name w:val="正文1"/>
    <w:basedOn w:val="1"/>
    <w:next w:val="1"/>
    <w:qFormat/>
    <w:uiPriority w:val="0"/>
    <w:pPr>
      <w:autoSpaceDE w:val="0"/>
      <w:autoSpaceDN w:val="0"/>
      <w:adjustRightInd w:val="0"/>
      <w:spacing w:line="440" w:lineRule="atLeast"/>
    </w:pPr>
    <w:rPr>
      <w:rFonts w:ascii="仿宋_GB2312" w:hAnsi="Times New Roman" w:cs="Times New Roman"/>
      <w:sz w:val="28"/>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4</Pages>
  <Words>1591</Words>
  <Characters>1610</Characters>
  <Lines>11</Lines>
  <Paragraphs>3</Paragraphs>
  <TotalTime>10</TotalTime>
  <ScaleCrop>false</ScaleCrop>
  <LinksUpToDate>false</LinksUpToDate>
  <CharactersWithSpaces>1612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2019-05-23T01:51:00Z</dcterms:created>
  <dc:creator>nyj</dc:creator>
  <cp:lastModifiedBy>张林夕</cp:lastModifiedBy>
  <cp:lastPrinted>2023-04-28T02:47:00Z</cp:lastPrinted>
  <dcterms:modified xsi:type="dcterms:W3CDTF">2023-07-20T07:13:36Z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2FD2A85F323A417C8C9EF12640E312DB_13</vt:lpwstr>
  </property>
</Properties>
</file>