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4"/>
          <w:szCs w:val="44"/>
        </w:rPr>
      </w:pPr>
      <w:r>
        <w:rPr>
          <w:rFonts w:hint="default"/>
          <w:sz w:val="44"/>
          <w:szCs w:val="44"/>
        </w:rPr>
        <w:t xml:space="preserve">      </w:t>
      </w:r>
    </w:p>
    <w:p>
      <w:pPr>
        <w:jc w:val="center"/>
        <w:rPr>
          <w:sz w:val="44"/>
          <w:szCs w:val="44"/>
        </w:rPr>
      </w:pPr>
    </w:p>
    <w:p>
      <w:pPr>
        <w:jc w:val="center"/>
        <w:rPr>
          <w:sz w:val="44"/>
          <w:szCs w:val="44"/>
        </w:rPr>
      </w:pPr>
    </w:p>
    <w:p>
      <w:pPr>
        <w:tabs>
          <w:tab w:val="left" w:pos="851"/>
        </w:tabs>
        <w:jc w:val="center"/>
        <w:rPr>
          <w:sz w:val="44"/>
          <w:szCs w:val="44"/>
        </w:rPr>
      </w:pPr>
      <w:r>
        <w:rPr>
          <w:sz w:val="44"/>
          <w:szCs w:val="44"/>
        </w:rPr>
        <w:pict>
          <v:shape id="艺术字: 两端远 3" o:spid="_x0000_s1026" o:spt="136" type="#_x0000_t136" style="position:absolute;left:0pt;margin-left:79.05pt;margin-top:175.85pt;height:36.85pt;width:433.7pt;mso-position-horizontal-relative:page;mso-position-vertical-relative:page;z-index:-251658240;mso-width-relative:page;mso-height-relative:page;" fillcolor="#FF0000" filled="t" stroked="f" coordsize="21600,21600">
            <v:path/>
            <v:fill on="t" focussize="0,0"/>
            <v:stroke on="f"/>
            <v:imagedata o:title=""/>
            <o:lock v:ext="edit" text="f"/>
            <v:textpath on="t" fitshape="t" fitpath="t" trim="t" xscale="f" string="天津市滨海新区人民政府大沽街道办事处文件" style="font-family:方正小标宋简体;font-size:36pt;v-text-align:center;v-text-spacing:68813f;"/>
          </v:shape>
        </w:pict>
      </w:r>
    </w:p>
    <w:p>
      <w:pPr>
        <w:jc w:val="both"/>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drawing>
          <wp:anchor distT="0" distB="0" distL="114300" distR="114300" simplePos="0" relativeHeight="251657216" behindDoc="0" locked="0" layoutInCell="1" allowOverlap="1">
            <wp:simplePos x="0" y="0"/>
            <wp:positionH relativeFrom="page">
              <wp:posOffset>934085</wp:posOffset>
            </wp:positionH>
            <wp:positionV relativeFrom="page">
              <wp:posOffset>3280410</wp:posOffset>
            </wp:positionV>
            <wp:extent cx="5615940" cy="180975"/>
            <wp:effectExtent l="19050" t="0" r="3810"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true"/>
                    </pic:cNvPicPr>
                  </pic:nvPicPr>
                  <pic:blipFill>
                    <a:blip r:embed="rId8" cstate="print"/>
                    <a:srcRect/>
                    <a:stretch>
                      <a:fillRect/>
                    </a:stretch>
                  </pic:blipFill>
                  <pic:spPr>
                    <a:xfrm>
                      <a:off x="0" y="0"/>
                      <a:ext cx="5615940" cy="180975"/>
                    </a:xfrm>
                    <a:prstGeom prst="rect">
                      <a:avLst/>
                    </a:prstGeom>
                    <a:noFill/>
                    <a:ln w="9525">
                      <a:noFill/>
                      <a:miter lim="800000"/>
                      <a:headEnd/>
                      <a:tailEnd/>
                    </a:ln>
                  </pic:spPr>
                </pic:pic>
              </a:graphicData>
            </a:graphic>
          </wp:anchor>
        </w:drawing>
      </w:r>
      <w:r>
        <w:rPr>
          <w:rFonts w:hint="eastAsia" w:ascii="仿宋_GB2312" w:eastAsia="仿宋_GB2312"/>
          <w:sz w:val="32"/>
          <w:szCs w:val="32"/>
        </w:rPr>
        <w:t>津滨大沽政发</w:t>
      </w:r>
      <w:r>
        <w:rPr>
          <w:rFonts w:ascii="Times New Roman" w:eastAsia="仿宋_GB2312"/>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ascii="Times New Roman" w:eastAsia="仿宋_GB2312"/>
          <w:sz w:val="32"/>
          <w:szCs w:val="32"/>
        </w:rPr>
        <w:t>〕</w:t>
      </w:r>
      <w:r>
        <w:rPr>
          <w:rFonts w:hint="eastAsia" w:ascii="Times New Roman" w:eastAsia="仿宋_GB2312"/>
          <w:sz w:val="32"/>
          <w:szCs w:val="32"/>
          <w:lang w:val="en-US" w:eastAsia="zh-CN"/>
        </w:rPr>
        <w:t>16</w:t>
      </w:r>
      <w:r>
        <w:rPr>
          <w:rFonts w:hint="eastAsia" w:ascii="仿宋_GB2312" w:eastAsia="仿宋_GB2312"/>
          <w:sz w:val="32"/>
          <w:szCs w:val="32"/>
        </w:rPr>
        <w:t>号</w:t>
      </w:r>
    </w:p>
    <w:p>
      <w:pPr>
        <w:jc w:val="both"/>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关于印发《大沽街道2021-2022</w:t>
      </w:r>
      <w:r>
        <w:rPr>
          <w:rFonts w:hint="eastAsia" w:ascii="方正小标宋简体" w:eastAsia="方正小标宋简体"/>
          <w:sz w:val="44"/>
          <w:szCs w:val="44"/>
        </w:rPr>
        <w:t>年食品安全</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监督管理计划</w:t>
      </w:r>
      <w:r>
        <w:rPr>
          <w:rFonts w:hint="eastAsia" w:ascii="方正小标宋简体" w:eastAsia="方正小标宋简体"/>
          <w:sz w:val="44"/>
          <w:szCs w:val="44"/>
          <w:lang w:val="en-US" w:eastAsia="zh-CN"/>
        </w:rPr>
        <w:t>》</w:t>
      </w:r>
      <w:r>
        <w:rPr>
          <w:rFonts w:hint="eastAsia" w:ascii="方正小标宋简体" w:eastAsia="方正小标宋简体"/>
          <w:sz w:val="44"/>
          <w:szCs w:val="44"/>
          <w:lang w:eastAsia="zh-CN"/>
        </w:rPr>
        <w:t>的通知</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eastAsia="方正小标宋简体"/>
          <w:sz w:val="44"/>
          <w:szCs w:val="44"/>
          <w:lang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各科室、各社区</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经街道党工委、办事处研究同意，现将《大沽街道2021-2022年食品安全监督管理计划》印发给你们，请照此执行。</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大沽街道办事处</w:t>
      </w:r>
    </w:p>
    <w:p>
      <w:pPr>
        <w:keepNext w:val="0"/>
        <w:keepLines w:val="0"/>
        <w:pageBreakBefore w:val="0"/>
        <w:kinsoku/>
        <w:wordWrap/>
        <w:overflowPunct/>
        <w:topLinePunct w:val="0"/>
        <w:autoSpaceDE/>
        <w:autoSpaceDN/>
        <w:bidi w:val="0"/>
        <w:adjustRightInd/>
        <w:spacing w:line="60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2021年9月30日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（联系人：谷文廷</w:t>
      </w:r>
      <w:r>
        <w:rPr>
          <w:rFonts w:hint="eastAsia" w:ascii="仿宋_GB2312" w:eastAsia="仿宋_GB2312"/>
          <w:color w:val="auto"/>
          <w:sz w:val="32"/>
          <w:szCs w:val="32"/>
          <w:lang w:eastAsia="zh-CN"/>
        </w:rPr>
        <w:t>，张雅静</w:t>
      </w:r>
      <w:r>
        <w:rPr>
          <w:rFonts w:hint="eastAsia" w:ascii="仿宋_GB2312" w:eastAsia="仿宋_GB2312"/>
          <w:color w:val="auto"/>
          <w:sz w:val="32"/>
          <w:szCs w:val="32"/>
        </w:rPr>
        <w:t>；联系电话：65811336</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65260786</w:t>
      </w:r>
      <w:r>
        <w:rPr>
          <w:rFonts w:hint="eastAsia" w:ascii="仿宋_GB2312" w:eastAsia="仿宋_GB2312"/>
          <w:color w:val="auto"/>
          <w:sz w:val="32"/>
          <w:szCs w:val="32"/>
        </w:rPr>
        <w:t>；电子邮箱：</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"mailto:dgjggaqbgs@tjbh.gov.cn"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dgjggaqbgs@tjbh.gov.cn</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eastAsia="方正小标宋简体"/>
          <w:color w:val="auto"/>
          <w:sz w:val="44"/>
          <w:szCs w:val="44"/>
        </w:rPr>
      </w:pPr>
      <w:bookmarkStart w:id="0" w:name="_GoBack"/>
      <w:bookmarkEnd w:id="0"/>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大沽街道202</w:t>
      </w:r>
      <w:r>
        <w:rPr>
          <w:rFonts w:hint="eastAsia" w:ascii="方正小标宋简体" w:eastAsia="方正小标宋简体"/>
          <w:color w:val="auto"/>
          <w:sz w:val="44"/>
          <w:szCs w:val="44"/>
          <w:lang w:val="en-US" w:eastAsia="zh-CN"/>
        </w:rPr>
        <w:t>1-2022</w:t>
      </w:r>
      <w:r>
        <w:rPr>
          <w:rFonts w:hint="eastAsia" w:ascii="方正小标宋简体" w:eastAsia="方正小标宋简体"/>
          <w:color w:val="auto"/>
          <w:sz w:val="44"/>
          <w:szCs w:val="44"/>
        </w:rPr>
        <w:t>年食品安全</w:t>
      </w:r>
    </w:p>
    <w:p>
      <w:pPr>
        <w:keepNext w:val="0"/>
        <w:keepLines w:val="0"/>
        <w:pageBreakBefore w:val="0"/>
        <w:kinsoku/>
        <w:wordWrap/>
        <w:overflowPunct/>
        <w:topLinePunct w:val="0"/>
        <w:autoSpaceDE/>
        <w:autoSpaceDN/>
        <w:bidi w:val="0"/>
        <w:adjustRightInd/>
        <w:spacing w:line="60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监督管理计划</w:t>
      </w:r>
    </w:p>
    <w:p>
      <w:pPr>
        <w:keepNext w:val="0"/>
        <w:keepLines w:val="0"/>
        <w:pageBreakBefore w:val="0"/>
        <w:kinsoku/>
        <w:wordWrap/>
        <w:overflowPunct/>
        <w:topLinePunct w:val="0"/>
        <w:autoSpaceDE/>
        <w:autoSpaceDN/>
        <w:bidi w:val="0"/>
        <w:adjustRightInd/>
        <w:spacing w:line="600" w:lineRule="exact"/>
        <w:jc w:val="center"/>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pacing w:line="600" w:lineRule="exact"/>
        <w:ind w:firstLine="645"/>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为深入贯彻落实习近平总书记食品安全“四个最严”指示精神，</w:t>
      </w:r>
      <w:r>
        <w:rPr>
          <w:rFonts w:hint="eastAsia" w:ascii="仿宋_GB2312" w:eastAsia="仿宋_GB2312"/>
          <w:color w:val="auto"/>
          <w:sz w:val="32"/>
          <w:szCs w:val="32"/>
          <w:lang w:eastAsia="zh-CN"/>
        </w:rPr>
        <w:t>做好</w:t>
      </w:r>
      <w:r>
        <w:rPr>
          <w:rFonts w:hint="eastAsia" w:ascii="仿宋_GB2312" w:eastAsia="仿宋_GB2312"/>
          <w:color w:val="auto"/>
          <w:sz w:val="32"/>
          <w:szCs w:val="32"/>
          <w:lang w:val="en-US" w:eastAsia="zh-CN"/>
        </w:rPr>
        <w:t>2021-2022年食品安全工作，</w:t>
      </w:r>
      <w:r>
        <w:rPr>
          <w:rFonts w:hint="eastAsia" w:ascii="仿宋_GB2312" w:eastAsia="仿宋_GB2312"/>
          <w:color w:val="auto"/>
          <w:sz w:val="32"/>
          <w:szCs w:val="32"/>
        </w:rPr>
        <w:t>切实保障</w:t>
      </w:r>
      <w:r>
        <w:rPr>
          <w:rFonts w:hint="eastAsia" w:ascii="仿宋_GB2312" w:eastAsia="仿宋_GB2312"/>
          <w:color w:val="auto"/>
          <w:sz w:val="32"/>
          <w:szCs w:val="32"/>
          <w:lang w:eastAsia="zh-CN"/>
        </w:rPr>
        <w:t>辖区</w:t>
      </w:r>
      <w:r>
        <w:rPr>
          <w:rFonts w:hint="eastAsia" w:ascii="仿宋_GB2312" w:eastAsia="仿宋_GB2312"/>
          <w:color w:val="auto"/>
          <w:sz w:val="32"/>
          <w:szCs w:val="32"/>
        </w:rPr>
        <w:t>人民群众的</w:t>
      </w:r>
      <w:r>
        <w:rPr>
          <w:rFonts w:hint="eastAsia" w:ascii="仿宋_GB2312" w:eastAsia="仿宋_GB2312"/>
          <w:color w:val="auto"/>
          <w:sz w:val="32"/>
          <w:szCs w:val="32"/>
          <w:lang w:eastAsia="zh-CN"/>
        </w:rPr>
        <w:t>饮食</w:t>
      </w:r>
      <w:r>
        <w:rPr>
          <w:rFonts w:hint="eastAsia" w:ascii="仿宋_GB2312" w:eastAsia="仿宋_GB2312"/>
          <w:color w:val="auto"/>
          <w:sz w:val="32"/>
          <w:szCs w:val="32"/>
        </w:rPr>
        <w:t>安全</w:t>
      </w:r>
      <w:r>
        <w:rPr>
          <w:rFonts w:hint="eastAsia" w:ascii="仿宋_GB2312" w:eastAsia="仿宋_GB2312"/>
          <w:color w:val="auto"/>
          <w:sz w:val="32"/>
          <w:szCs w:val="32"/>
          <w:lang w:eastAsia="zh-CN"/>
        </w:rPr>
        <w:t>，</w:t>
      </w:r>
      <w:r>
        <w:rPr>
          <w:rFonts w:hint="eastAsia" w:ascii="仿宋_GB2312" w:eastAsia="仿宋_GB2312"/>
          <w:color w:val="auto"/>
          <w:sz w:val="32"/>
          <w:szCs w:val="32"/>
        </w:rPr>
        <w:t>按照党中央、国务院和天津市委、市政府、滨海新区区委、区政府关于食品安全工作的决策部署，结合大沽街道实际，制定202</w:t>
      </w:r>
      <w:r>
        <w:rPr>
          <w:rFonts w:hint="eastAsia" w:ascii="仿宋_GB2312" w:eastAsia="仿宋_GB2312"/>
          <w:color w:val="auto"/>
          <w:sz w:val="32"/>
          <w:szCs w:val="32"/>
          <w:lang w:val="en-US" w:eastAsia="zh-CN"/>
        </w:rPr>
        <w:t>1-2022</w:t>
      </w:r>
      <w:r>
        <w:rPr>
          <w:rFonts w:hint="eastAsia" w:ascii="仿宋_GB2312" w:eastAsia="仿宋_GB2312"/>
          <w:color w:val="auto"/>
          <w:sz w:val="32"/>
          <w:szCs w:val="32"/>
        </w:rPr>
        <w:t>年食品安全监督管理计划</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5"/>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eastAsia="zh-CN"/>
        </w:rPr>
        <w:t>落实食品安全“党政同责”</w:t>
      </w:r>
    </w:p>
    <w:p>
      <w:pPr>
        <w:keepNext w:val="0"/>
        <w:keepLines w:val="0"/>
        <w:pageBreakBefore w:val="0"/>
        <w:kinsoku/>
        <w:wordWrap/>
        <w:overflowPunct/>
        <w:topLinePunct w:val="0"/>
        <w:autoSpaceDE/>
        <w:autoSpaceDN/>
        <w:bidi w:val="0"/>
        <w:adjustRightInd/>
        <w:snapToGrid w:val="0"/>
        <w:spacing w:line="600" w:lineRule="exact"/>
        <w:ind w:firstLine="640" w:firstLineChars="200"/>
        <w:contextualSpacing/>
        <w:jc w:val="left"/>
        <w:textAlignment w:val="auto"/>
        <w:rPr>
          <w:rFonts w:hint="eastAsia" w:ascii="仿宋_GB2312" w:eastAsia="仿宋_GB2312"/>
          <w:b/>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贯彻落实《地方党政领导干部食品安全责任制规定》、《中共中央国务院关于深化改革加强食品安全工作的意见》和《滨海新区落实&lt;中共中央国务院关于深化改革加强食品安全工作的意见&gt;工作措施》</w:t>
      </w:r>
      <w:r>
        <w:rPr>
          <w:rFonts w:hint="eastAsia" w:ascii="仿宋_GB2312" w:eastAsia="仿宋_GB2312"/>
          <w:color w:val="auto"/>
          <w:sz w:val="32"/>
          <w:szCs w:val="32"/>
          <w:lang w:eastAsia="zh-CN"/>
        </w:rPr>
        <w:t>，依照《大沽街道党工委 大沽街道办事处落实滨海新区关于深化改革加强食品安全工作的相关措施实施办法》，严格落实属地管理责任，完善食安委（办）建设，确保食品安全工作人员、经费保障到位。定期召开党（工）委和行政会议研究推动食品安全工作。街道主要负责同志开展食品安全工作调研，研究解决群众关心的食品安全问题。食品安全工作分管领导每月听取食品安全工作汇报，统筹推动辖区食品安全工作。街道领导班子其他成员按照食品安全委员会成员及工作职责和包保领导食品安全检查实施方案，统筹推进分管行业或领域内食品安全相关工作。</w:t>
      </w:r>
      <w:r>
        <w:rPr>
          <w:rFonts w:hint="eastAsia" w:ascii="仿宋_GB2312" w:eastAsia="仿宋_GB2312"/>
          <w:b/>
          <w:color w:val="auto"/>
          <w:sz w:val="32"/>
          <w:szCs w:val="32"/>
        </w:rPr>
        <w:t>（</w:t>
      </w:r>
      <w:r>
        <w:rPr>
          <w:rFonts w:hint="eastAsia" w:ascii="仿宋_GB2312" w:eastAsia="仿宋_GB2312"/>
          <w:color w:val="auto"/>
          <w:sz w:val="32"/>
          <w:szCs w:val="32"/>
          <w:lang w:val="en-US" w:eastAsia="zh-CN"/>
        </w:rPr>
        <w:t>街道食安委各成员单位按职责分工负责</w:t>
      </w:r>
      <w:r>
        <w:rPr>
          <w:rFonts w:hint="eastAsia" w:ascii="仿宋_GB2312" w:eastAsia="仿宋_GB2312"/>
          <w:b/>
          <w:color w:val="auto"/>
          <w:sz w:val="32"/>
          <w:szCs w:val="32"/>
        </w:rPr>
        <w:t>）</w:t>
      </w: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lang w:eastAsia="zh-CN"/>
        </w:rPr>
        <w:t>二、强化食品安全全过程监管</w:t>
      </w:r>
    </w:p>
    <w:p>
      <w:pPr>
        <w:keepNext w:val="0"/>
        <w:keepLines w:val="0"/>
        <w:pageBreakBefore w:val="0"/>
        <w:widowControl/>
        <w:numPr>
          <w:ilvl w:val="0"/>
          <w:numId w:val="0"/>
        </w:numPr>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仿宋_GB2312" w:eastAsia="仿宋_GB2312"/>
          <w:color w:val="auto"/>
          <w:sz w:val="32"/>
          <w:szCs w:val="32"/>
          <w:lang w:val="en-US" w:eastAsia="zh-CN"/>
        </w:rPr>
      </w:pPr>
      <w:r>
        <w:rPr>
          <w:rFonts w:hint="eastAsia" w:ascii="仿宋_GB2312" w:hAnsi="楷体_GB2312" w:eastAsia="仿宋_GB2312"/>
          <w:color w:val="auto"/>
          <w:sz w:val="32"/>
          <w:lang w:val="en-US" w:eastAsia="zh-CN"/>
        </w:rPr>
        <w:t>2.</w:t>
      </w:r>
      <w:r>
        <w:rPr>
          <w:rFonts w:hint="eastAsia" w:ascii="仿宋_GB2312" w:hAnsi="楷体_GB2312" w:eastAsia="仿宋_GB2312"/>
          <w:color w:val="auto"/>
          <w:sz w:val="32"/>
        </w:rPr>
        <w:t>全面开展食品安全巡查工作。</w:t>
      </w:r>
      <w:r>
        <w:rPr>
          <w:rFonts w:hint="eastAsia" w:ascii="仿宋_GB2312" w:hAnsi="楷体_GB2312" w:eastAsia="仿宋_GB2312"/>
          <w:color w:val="auto"/>
          <w:sz w:val="32"/>
          <w:lang w:eastAsia="zh-CN"/>
        </w:rPr>
        <w:t>食安办</w:t>
      </w:r>
      <w:r>
        <w:rPr>
          <w:rFonts w:hint="eastAsia" w:eastAsia="仿宋_GB2312"/>
          <w:color w:val="auto"/>
          <w:sz w:val="32"/>
          <w:szCs w:val="32"/>
        </w:rPr>
        <w:t>、各社区负责准确登记辖区各类型食品生产经营单位台账，</w:t>
      </w:r>
      <w:r>
        <w:rPr>
          <w:rFonts w:eastAsia="仿宋_GB2312"/>
          <w:color w:val="auto"/>
          <w:sz w:val="32"/>
          <w:szCs w:val="32"/>
        </w:rPr>
        <w:t>开展食品</w:t>
      </w:r>
      <w:r>
        <w:rPr>
          <w:rFonts w:hint="eastAsia" w:eastAsia="仿宋_GB2312"/>
          <w:color w:val="auto"/>
          <w:sz w:val="32"/>
          <w:szCs w:val="32"/>
        </w:rPr>
        <w:t>安全日常</w:t>
      </w:r>
      <w:r>
        <w:rPr>
          <w:rFonts w:eastAsia="仿宋_GB2312"/>
          <w:color w:val="auto"/>
          <w:sz w:val="32"/>
          <w:szCs w:val="32"/>
        </w:rPr>
        <w:t>巡查，</w:t>
      </w:r>
      <w:r>
        <w:rPr>
          <w:rFonts w:hint="eastAsia" w:ascii="仿宋_GB2312" w:hAnsi="楷体_GB2312" w:eastAsia="仿宋_GB2312"/>
          <w:color w:val="auto"/>
          <w:sz w:val="32"/>
        </w:rPr>
        <w:t>采取全面巡查和重点巡查相结合的方式，全覆盖巡查原则上每季度不少于1次，重点巡查每月不少于1次，完整填写并保存巡查记录，做好食品安全检查与隐患登记台账。落实信息报告制度，</w:t>
      </w:r>
      <w:r>
        <w:rPr>
          <w:rFonts w:eastAsia="仿宋_GB2312"/>
          <w:color w:val="auto"/>
          <w:sz w:val="32"/>
          <w:szCs w:val="32"/>
        </w:rPr>
        <w:t>及时</w:t>
      </w:r>
      <w:r>
        <w:rPr>
          <w:rFonts w:hint="eastAsia" w:eastAsia="仿宋_GB2312"/>
          <w:color w:val="auto"/>
          <w:sz w:val="32"/>
          <w:szCs w:val="32"/>
        </w:rPr>
        <w:t>向上级报送</w:t>
      </w:r>
      <w:r>
        <w:rPr>
          <w:rFonts w:eastAsia="仿宋_GB2312"/>
          <w:color w:val="auto"/>
          <w:sz w:val="32"/>
          <w:szCs w:val="32"/>
        </w:rPr>
        <w:t>发现的食品安全</w:t>
      </w:r>
      <w:r>
        <w:rPr>
          <w:rFonts w:hint="eastAsia" w:eastAsia="仿宋_GB2312"/>
          <w:color w:val="auto"/>
          <w:sz w:val="32"/>
          <w:szCs w:val="32"/>
        </w:rPr>
        <w:t>事故</w:t>
      </w:r>
      <w:r>
        <w:rPr>
          <w:rFonts w:eastAsia="仿宋_GB2312"/>
          <w:color w:val="auto"/>
          <w:sz w:val="32"/>
          <w:szCs w:val="32"/>
        </w:rPr>
        <w:t>隐患和违法违规行为，有效防范重大食品安全事故</w:t>
      </w:r>
      <w:r>
        <w:rPr>
          <w:rFonts w:hint="eastAsia" w:eastAsia="仿宋_GB2312"/>
          <w:color w:val="auto"/>
          <w:sz w:val="32"/>
          <w:szCs w:val="32"/>
        </w:rPr>
        <w:t>。</w:t>
      </w:r>
      <w:r>
        <w:rPr>
          <w:rFonts w:hint="eastAsia" w:ascii="仿宋_GB2312" w:eastAsia="仿宋_GB2312"/>
          <w:color w:val="auto"/>
          <w:sz w:val="32"/>
          <w:szCs w:val="32"/>
          <w:lang w:val="en-US" w:eastAsia="zh-CN"/>
        </w:rPr>
        <w:t>（街道食安办、各社区负责）</w:t>
      </w:r>
    </w:p>
    <w:p>
      <w:pPr>
        <w:keepNext w:val="0"/>
        <w:keepLines w:val="0"/>
        <w:pageBreakBefore w:val="0"/>
        <w:widowControl/>
        <w:numPr>
          <w:ilvl w:val="0"/>
          <w:numId w:val="0"/>
        </w:numPr>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eastAsia="仿宋_GB2312"/>
          <w:b w:val="0"/>
          <w:bCs/>
          <w:color w:val="auto"/>
          <w:sz w:val="32"/>
          <w:szCs w:val="32"/>
        </w:rPr>
      </w:pPr>
      <w:r>
        <w:rPr>
          <w:rFonts w:hint="eastAsia" w:ascii="仿宋_GB2312" w:hAnsi="楷体_GB2312" w:eastAsia="仿宋_GB2312"/>
          <w:color w:val="auto"/>
          <w:sz w:val="32"/>
          <w:lang w:val="en-US" w:eastAsia="zh-CN"/>
        </w:rPr>
        <w:t>3.</w:t>
      </w:r>
      <w:r>
        <w:rPr>
          <w:rFonts w:hint="eastAsia" w:ascii="仿宋_GB2312" w:hAnsi="楷体_GB2312" w:eastAsia="仿宋_GB2312"/>
          <w:color w:val="auto"/>
          <w:sz w:val="32"/>
        </w:rPr>
        <w:t>协助开展行业领域食品安全管理。</w:t>
      </w:r>
      <w:r>
        <w:rPr>
          <w:rFonts w:hint="eastAsia" w:eastAsia="仿宋_GB2312"/>
          <w:color w:val="auto"/>
          <w:sz w:val="32"/>
          <w:szCs w:val="32"/>
        </w:rPr>
        <w:t>公共服务办公室配合行业主管部门开展学校、托幼机构、养老机构食品安全监管和日常教育培训工作，配合做好本行业领域</w:t>
      </w:r>
      <w:r>
        <w:rPr>
          <w:rFonts w:eastAsia="仿宋_GB2312"/>
          <w:color w:val="auto"/>
          <w:sz w:val="32"/>
          <w:szCs w:val="32"/>
        </w:rPr>
        <w:t>食品安全突发事件应急和处置工作</w:t>
      </w:r>
      <w:r>
        <w:rPr>
          <w:rFonts w:hint="eastAsia" w:eastAsia="仿宋_GB2312"/>
          <w:color w:val="auto"/>
          <w:sz w:val="32"/>
          <w:szCs w:val="32"/>
        </w:rPr>
        <w:t>；公共管理办公室配合行业主管部门开展建筑工地食品安全监管和日常教育培训工作，配合做好本行业领域</w:t>
      </w:r>
      <w:r>
        <w:rPr>
          <w:rFonts w:eastAsia="仿宋_GB2312"/>
          <w:color w:val="auto"/>
          <w:sz w:val="32"/>
          <w:szCs w:val="32"/>
        </w:rPr>
        <w:t>食品安全突发事件应急和处置工作</w:t>
      </w:r>
      <w:r>
        <w:rPr>
          <w:rFonts w:hint="eastAsia" w:eastAsia="仿宋_GB2312"/>
          <w:color w:val="auto"/>
          <w:sz w:val="32"/>
          <w:szCs w:val="32"/>
          <w:lang w:eastAsia="zh-CN"/>
        </w:rPr>
        <w:t>，</w:t>
      </w:r>
      <w:r>
        <w:rPr>
          <w:rFonts w:hint="eastAsia" w:ascii="仿宋_GB2312" w:eastAsia="仿宋_GB2312"/>
          <w:color w:val="auto"/>
          <w:sz w:val="32"/>
          <w:szCs w:val="32"/>
          <w:lang w:val="en-US" w:eastAsia="zh-CN"/>
        </w:rPr>
        <w:t>负责督促物业对所管辖的限时限地市场开展日常巡查和整治，严禁</w:t>
      </w:r>
      <w:r>
        <w:rPr>
          <w:rFonts w:hint="eastAsia" w:ascii="仿宋_GB2312" w:hAnsi="仿宋_GB2312" w:eastAsia="仿宋_GB2312" w:cs="仿宋_GB2312"/>
          <w:color w:val="auto"/>
          <w:sz w:val="32"/>
          <w:szCs w:val="32"/>
          <w:lang w:eastAsia="zh-CN"/>
        </w:rPr>
        <w:t>超范围、超时限经营，确保符合食品安全经营环境与条件</w:t>
      </w:r>
      <w:r>
        <w:rPr>
          <w:rFonts w:hint="eastAsia" w:eastAsia="仿宋_GB2312"/>
          <w:color w:val="auto"/>
          <w:sz w:val="32"/>
          <w:szCs w:val="32"/>
        </w:rPr>
        <w:t>；经济发展办公室配合行业主管部门开展集贸市场</w:t>
      </w:r>
      <w:r>
        <w:rPr>
          <w:rFonts w:hint="eastAsia" w:eastAsia="仿宋_GB2312"/>
          <w:color w:val="auto"/>
          <w:sz w:val="32"/>
          <w:szCs w:val="32"/>
          <w:lang w:eastAsia="zh-CN"/>
        </w:rPr>
        <w:t>和所管辖限时限地市场</w:t>
      </w:r>
      <w:r>
        <w:rPr>
          <w:rFonts w:hint="eastAsia" w:eastAsia="仿宋_GB2312"/>
          <w:color w:val="auto"/>
          <w:sz w:val="32"/>
          <w:szCs w:val="32"/>
        </w:rPr>
        <w:t>食品安全监管和日常教育培训工作，维护食品市场经营秩序，指导商户办理</w:t>
      </w:r>
      <w:r>
        <w:rPr>
          <w:rFonts w:hint="eastAsia" w:eastAsia="仿宋_GB2312"/>
          <w:color w:val="auto"/>
          <w:sz w:val="32"/>
          <w:szCs w:val="32"/>
          <w:lang w:eastAsia="zh-CN"/>
        </w:rPr>
        <w:t>经营</w:t>
      </w:r>
      <w:r>
        <w:rPr>
          <w:rFonts w:hint="eastAsia" w:eastAsia="仿宋_GB2312"/>
          <w:color w:val="auto"/>
          <w:sz w:val="32"/>
          <w:szCs w:val="32"/>
        </w:rPr>
        <w:t>许可相关证件，确保合法有序经营</w:t>
      </w:r>
      <w:r>
        <w:rPr>
          <w:rFonts w:hint="eastAsia" w:eastAsia="仿宋_GB2312"/>
          <w:color w:val="auto"/>
          <w:sz w:val="32"/>
          <w:szCs w:val="32"/>
          <w:lang w:eastAsia="zh-CN"/>
        </w:rPr>
        <w:t>；党建办公室配合行业主管部门开展清真寺食品安全监管和日常教育培训工作，</w:t>
      </w:r>
      <w:r>
        <w:rPr>
          <w:rFonts w:hint="eastAsia" w:eastAsia="仿宋_GB2312"/>
          <w:color w:val="auto"/>
          <w:sz w:val="32"/>
          <w:szCs w:val="32"/>
        </w:rPr>
        <w:t>配合做好本行业领域</w:t>
      </w:r>
      <w:r>
        <w:rPr>
          <w:rFonts w:eastAsia="仿宋_GB2312"/>
          <w:color w:val="auto"/>
          <w:sz w:val="32"/>
          <w:szCs w:val="32"/>
        </w:rPr>
        <w:t>食品安全突发事件应急和处置工作</w:t>
      </w:r>
      <w:r>
        <w:rPr>
          <w:rFonts w:hint="eastAsia" w:eastAsia="仿宋_GB2312"/>
          <w:color w:val="auto"/>
          <w:sz w:val="32"/>
          <w:szCs w:val="32"/>
          <w:lang w:eastAsia="zh-CN"/>
        </w:rPr>
        <w:t>。</w:t>
      </w:r>
      <w:r>
        <w:rPr>
          <w:rFonts w:hint="eastAsia" w:eastAsia="仿宋_GB2312"/>
          <w:b w:val="0"/>
          <w:bCs/>
          <w:color w:val="auto"/>
          <w:sz w:val="32"/>
          <w:szCs w:val="32"/>
        </w:rPr>
        <w:t>（公共服务办、公共管理办、经济发展办</w:t>
      </w:r>
      <w:r>
        <w:rPr>
          <w:rFonts w:hint="eastAsia" w:eastAsia="仿宋_GB2312"/>
          <w:b w:val="0"/>
          <w:bCs/>
          <w:color w:val="auto"/>
          <w:sz w:val="32"/>
          <w:szCs w:val="32"/>
          <w:lang w:eastAsia="zh-CN"/>
        </w:rPr>
        <w:t>、党建办按行业分工负责</w:t>
      </w:r>
      <w:r>
        <w:rPr>
          <w:rFonts w:hint="eastAsia" w:eastAsia="仿宋_GB2312"/>
          <w:b w:val="0"/>
          <w:bCs/>
          <w:color w:val="auto"/>
          <w:sz w:val="32"/>
          <w:szCs w:val="32"/>
        </w:rPr>
        <w:t>）</w:t>
      </w:r>
    </w:p>
    <w:p>
      <w:pPr>
        <w:keepNext w:val="0"/>
        <w:keepLines w:val="0"/>
        <w:pageBreakBefore w:val="0"/>
        <w:widowControl/>
        <w:numPr>
          <w:ilvl w:val="0"/>
          <w:numId w:val="0"/>
        </w:numPr>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三、严惩食品安全违法犯罪行为</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contextualSpacing/>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4.开展食品安全整治“百日行动”，聚焦从“农田到餐桌”各个链条，深挖问题线索，建立排查清单，逐项销号管理，全面深入开展食品安全风险隐患整治，牢牢守住食品安全底线。（街道食安办牵头，食安委各成员单位按职责分工负责）</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开展城市建成区占路经营食品摊贩专项治理活动。依法查处违法占用道路和公共场所从事摆卖食品、餐饮等经营行动和在居民区内的道路、绿地、空地、楼道、庭院等部位从事摆卖食品、加工食品等经营活动。对辖区限时限地市场开展日常巡查和执法处置，</w:t>
      </w:r>
      <w:r>
        <w:rPr>
          <w:rFonts w:hint="eastAsia" w:ascii="仿宋_GB2312" w:hAnsi="仿宋_GB2312" w:eastAsia="仿宋_GB2312" w:cs="仿宋_GB2312"/>
          <w:color w:val="auto"/>
          <w:sz w:val="32"/>
          <w:szCs w:val="32"/>
          <w:lang w:eastAsia="zh-CN"/>
        </w:rPr>
        <w:t>依法整治超范围、超时限经营和无证无照经营行为</w:t>
      </w:r>
      <w:r>
        <w:rPr>
          <w:rFonts w:hint="eastAsia" w:ascii="仿宋_GB2312" w:eastAsia="仿宋_GB2312"/>
          <w:color w:val="auto"/>
          <w:sz w:val="32"/>
          <w:szCs w:val="32"/>
          <w:lang w:val="en-US" w:eastAsia="zh-CN"/>
        </w:rPr>
        <w:t>。（街道综合执法大队负责）</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四、加强食品安全监管能力建设</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6.加强食品安全协管员队伍建设，结合辖区实际，配齐配强协管员队伍，所有社区至少配备2名食品安全协管员，建立健全协管员开展食品安全隐患排查、风险防控、教育培训、信息报告、协助执法、督查考评等制度，并将该工作纳入年度工作考核，实施考核奖惩。强化协管员日常巡查，原则上巡查每周不少于2次，将无证无照从事食品生产经营，制售假冒伪劣食品、过期食品，非法生产经营食品，从事非法渠道购进销售食品等违法行为作为重点，并及时通报监管部门，积极协助配合监管部门依法进行查处。积极做好辖区食品生产经营单位和群众的宣传引导工作，认真宣传食品安全法律法规等知识，教育群众提高食品安全意识，督促商户夯实食品安全主体责任，自觉参与维护食品安全。（街道食安办、党建办、各社区负责）</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五、构建食品安全社会共治格局 </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仿宋_GB2312" w:hAnsi="Times New Roman" w:eastAsia="仿宋_GB2312"/>
          <w:b w:val="0"/>
          <w:bCs/>
          <w:color w:val="auto"/>
          <w:sz w:val="32"/>
          <w:szCs w:val="32"/>
        </w:rPr>
      </w:pPr>
      <w:r>
        <w:rPr>
          <w:rFonts w:hint="eastAsia" w:ascii="仿宋_GB2312" w:eastAsia="仿宋_GB2312"/>
          <w:color w:val="auto"/>
          <w:sz w:val="32"/>
          <w:szCs w:val="32"/>
          <w:lang w:val="en-US" w:eastAsia="zh-CN"/>
        </w:rPr>
        <w:t>7.深入推动创建食品安全示范城市引领。做好国家食品安全示范城市市级初评反馈问题整改落实，对标对表《国家食品安全示范城市评价细则（2021版）》，持续加大创建力度，巩固三年创建成果。根据区双创办要求，完成市级跟踪评价迎检工作，为迎接国家级验收打下坚实基础。</w:t>
      </w:r>
      <w:r>
        <w:rPr>
          <w:rFonts w:hint="eastAsia" w:ascii="仿宋_GB2312" w:hAnsi="Times New Roman" w:eastAsia="仿宋_GB2312"/>
          <w:b w:val="0"/>
          <w:bCs/>
          <w:color w:val="auto"/>
          <w:sz w:val="32"/>
          <w:szCs w:val="32"/>
        </w:rPr>
        <w:t>（根</w:t>
      </w:r>
      <w:r>
        <w:rPr>
          <w:rFonts w:hint="eastAsia" w:eastAsia="仿宋_GB2312"/>
          <w:b w:val="0"/>
          <w:bCs/>
          <w:color w:val="auto"/>
          <w:sz w:val="32"/>
          <w:szCs w:val="32"/>
        </w:rPr>
        <w:t>据《大沽街道食品安全示范区创建工作责任清单》分工负责</w:t>
      </w:r>
      <w:r>
        <w:rPr>
          <w:rFonts w:hint="eastAsia" w:ascii="仿宋_GB2312" w:hAnsi="Times New Roman" w:eastAsia="仿宋_GB2312"/>
          <w:b w:val="0"/>
          <w:bCs/>
          <w:color w:val="auto"/>
          <w:sz w:val="32"/>
          <w:szCs w:val="32"/>
        </w:rPr>
        <w:t>）</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仿宋_GB2312" w:hAnsi="Times New Roman" w:eastAsia="仿宋_GB2312" w:cs="Times New Roman"/>
          <w:color w:val="auto"/>
          <w:sz w:val="32"/>
          <w:szCs w:val="32"/>
          <w:lang w:eastAsia="zh-CN"/>
        </w:rPr>
      </w:pPr>
      <w:r>
        <w:rPr>
          <w:rFonts w:hint="eastAsia" w:ascii="仿宋_GB2312" w:hAnsi="Times New Roman" w:eastAsia="仿宋_GB2312"/>
          <w:b w:val="0"/>
          <w:bCs/>
          <w:color w:val="auto"/>
          <w:sz w:val="32"/>
          <w:szCs w:val="32"/>
          <w:lang w:val="en-US" w:eastAsia="zh-CN"/>
        </w:rPr>
        <w:t>8.</w:t>
      </w:r>
      <w:r>
        <w:rPr>
          <w:rFonts w:hint="eastAsia" w:ascii="仿宋_GB2312" w:hAnsi="Times New Roman" w:eastAsia="仿宋_GB2312" w:cs="Times New Roman"/>
          <w:color w:val="auto"/>
          <w:sz w:val="32"/>
          <w:szCs w:val="32"/>
          <w:lang w:eastAsia="zh-CN"/>
        </w:rPr>
        <w:t>广泛开展食品安全科普宣传和食品安全宣传周主题活动。充分发挥街道食品安全宣传站、社区食品安全宣传栏的宣传阵地作用,采取设置图书角、播放科普短片、发放宣传资料、举办知识讲座等多种形式,广泛宣传食品安全科普知识。组织社区开展食品安全知识讲座、集中宣传等食品安全活动，每社区每季度不少于</w:t>
      </w:r>
      <w:r>
        <w:rPr>
          <w:rFonts w:hint="eastAsia" w:ascii="仿宋_GB2312" w:hAnsi="Times New Roman" w:eastAsia="仿宋_GB2312" w:cs="Times New Roman"/>
          <w:color w:val="auto"/>
          <w:sz w:val="32"/>
          <w:szCs w:val="32"/>
          <w:lang w:val="en-US" w:eastAsia="zh-CN"/>
        </w:rPr>
        <w:t>1次。</w:t>
      </w:r>
      <w:r>
        <w:rPr>
          <w:rFonts w:hint="eastAsia" w:ascii="仿宋_GB2312" w:hAnsi="Times New Roman" w:eastAsia="仿宋_GB2312" w:cs="Times New Roman"/>
          <w:color w:val="auto"/>
          <w:sz w:val="32"/>
          <w:szCs w:val="32"/>
          <w:lang w:eastAsia="zh-CN"/>
        </w:rPr>
        <w:t>在辖区主干道、公园广场等人流密集的公共场所,通过宣传展板、宣传围挡、宣传海报、宣传道旗、LED 电子屏等多种方式,浓厚宣传氛围,确保宣传实效，推动辖区食品安全群众满意度达到</w:t>
      </w:r>
      <w:r>
        <w:rPr>
          <w:rFonts w:hint="eastAsia" w:ascii="仿宋_GB2312" w:hAnsi="Times New Roman" w:eastAsia="仿宋_GB2312" w:cs="Times New Roman"/>
          <w:color w:val="auto"/>
          <w:sz w:val="32"/>
          <w:szCs w:val="32"/>
          <w:lang w:val="en-US" w:eastAsia="zh-CN"/>
        </w:rPr>
        <w:t>80%，对创建工作的知晓率达到85%</w:t>
      </w:r>
      <w:r>
        <w:rPr>
          <w:rFonts w:hint="eastAsia" w:ascii="仿宋_GB2312" w:hAnsi="Times New Roman" w:eastAsia="仿宋_GB2312" w:cs="Times New Roman"/>
          <w:color w:val="auto"/>
          <w:sz w:val="32"/>
          <w:szCs w:val="32"/>
          <w:lang w:eastAsia="zh-CN"/>
        </w:rPr>
        <w:t>。（街道食安办、各社区负责）</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eastAsia" w:ascii="仿宋_GB2312" w:hAnsi="Times New Roman" w:eastAsia="仿宋_GB2312"/>
          <w:b w:val="0"/>
          <w:bCs/>
          <w:color w:val="auto"/>
          <w:sz w:val="32"/>
          <w:szCs w:val="32"/>
          <w:lang w:val="en-US" w:eastAsia="zh-CN"/>
        </w:rPr>
      </w:pPr>
      <w:r>
        <w:rPr>
          <w:rFonts w:hint="eastAsia" w:ascii="仿宋_GB2312" w:hAnsi="Times New Roman" w:eastAsia="仿宋_GB2312"/>
          <w:b w:val="0"/>
          <w:bCs/>
          <w:color w:val="auto"/>
          <w:sz w:val="32"/>
          <w:szCs w:val="32"/>
          <w:lang w:val="en-US" w:eastAsia="zh-CN"/>
        </w:rPr>
        <w:t>9.加大食品安全网络舆情监测，及时与行业主管部门对接核实，通过官方微博、微信平台发布权威信息，强化正面宣传、线下处置、舆论引导和负面管控协调配合，营造良好舆论氛围。（网信办负责）</w:t>
      </w:r>
    </w:p>
    <w:p>
      <w:pPr>
        <w:keepNext w:val="0"/>
        <w:keepLines w:val="0"/>
        <w:pageBreakBefore w:val="0"/>
        <w:widowControl/>
        <w:pBdr>
          <w:bottom w:val="single" w:color="FFFFFF" w:sz="8" w:space="30"/>
        </w:pBdr>
        <w:shd w:val="clear" w:color="auto" w:fill="FFFFFF"/>
        <w:kinsoku/>
        <w:wordWrap/>
        <w:overflowPunct/>
        <w:topLinePunct w:val="0"/>
        <w:autoSpaceDE/>
        <w:autoSpaceDN/>
        <w:bidi w:val="0"/>
        <w:adjustRightInd/>
        <w:spacing w:line="600" w:lineRule="exact"/>
        <w:ind w:firstLine="640"/>
        <w:contextualSpacing/>
        <w:textAlignment w:val="auto"/>
        <w:rPr>
          <w:rFonts w:hint="default" w:ascii="仿宋_GB2312" w:hAnsi="Times New Roman" w:eastAsia="仿宋_GB2312"/>
          <w:b w:val="0"/>
          <w:bCs/>
          <w:color w:val="auto"/>
          <w:sz w:val="32"/>
          <w:szCs w:val="32"/>
          <w:lang w:val="en-US" w:eastAsia="zh-CN"/>
        </w:rPr>
      </w:pPr>
      <w:r>
        <w:rPr>
          <w:rFonts w:hint="eastAsia" w:ascii="仿宋_GB2312" w:hAnsi="Times New Roman" w:eastAsia="仿宋_GB2312"/>
          <w:b w:val="0"/>
          <w:bCs/>
          <w:color w:val="auto"/>
          <w:sz w:val="32"/>
          <w:szCs w:val="32"/>
          <w:lang w:val="en-US" w:eastAsia="zh-CN"/>
        </w:rPr>
        <w:t>10.强化食品安全社会监督，建立食品安全志愿者队伍，开展社会监督、科普宣传、志愿服务等活动。（街道食安办、各社区负责）</w:t>
      </w:r>
    </w:p>
    <w:p>
      <w:pPr>
        <w:keepNext w:val="0"/>
        <w:keepLines w:val="0"/>
        <w:pageBreakBefore w:val="0"/>
        <w:kinsoku/>
        <w:wordWrap/>
        <w:overflowPunct/>
        <w:topLinePunct w:val="0"/>
        <w:autoSpaceDE/>
        <w:autoSpaceDN/>
        <w:bidi w:val="0"/>
        <w:adjustRightInd/>
        <w:spacing w:line="600" w:lineRule="exact"/>
        <w:textAlignment w:val="auto"/>
        <w:rPr>
          <w:color w:val="auto"/>
        </w:rPr>
      </w:pPr>
    </w:p>
    <w:p>
      <w:pPr>
        <w:keepNext w:val="0"/>
        <w:keepLines w:val="0"/>
        <w:pageBreakBefore w:val="0"/>
        <w:kinsoku/>
        <w:wordWrap/>
        <w:overflowPunct/>
        <w:topLinePunct w:val="0"/>
        <w:autoSpaceDE/>
        <w:autoSpaceDN/>
        <w:bidi w:val="0"/>
        <w:adjustRightInd/>
        <w:spacing w:line="600" w:lineRule="exact"/>
        <w:textAlignment w:val="auto"/>
        <w:rPr>
          <w:color w:val="auto"/>
        </w:rPr>
      </w:pPr>
    </w:p>
    <w:sectPr>
      <w:footerReference r:id="rId6" w:type="first"/>
      <w:headerReference r:id="rId3" w:type="default"/>
      <w:footerReference r:id="rId4" w:type="default"/>
      <w:footerReference r:id="rId5" w:type="even"/>
      <w:pgSz w:w="11906" w:h="16838"/>
      <w:pgMar w:top="1531" w:right="1474" w:bottom="1417" w:left="1474"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750" w:type="pct"/>
      <w:tblInd w:w="115"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autofit"/>
      <w:tblCellMar>
        <w:top w:w="58" w:type="dxa"/>
        <w:left w:w="115" w:type="dxa"/>
        <w:bottom w:w="58" w:type="dxa"/>
        <w:right w:w="115" w:type="dxa"/>
      </w:tblCellMar>
    </w:tblPr>
    <w:tblGrid>
      <w:gridCol w:w="1361"/>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CellMar>
          <w:top w:w="58" w:type="dxa"/>
          <w:left w:w="115" w:type="dxa"/>
          <w:bottom w:w="58" w:type="dxa"/>
          <w:right w:w="115" w:type="dxa"/>
        </w:tblCellMar>
      </w:tblPrEx>
      <w:tc>
        <w:tcPr>
          <w:tcW w:w="5000" w:type="pct"/>
        </w:tcPr>
        <w:p>
          <w:pPr>
            <w:pStyle w:val="5"/>
            <w:jc w:val="right"/>
            <w:rPr>
              <w:rFonts w:ascii="宋体" w:hAnsi="宋体"/>
              <w:color w:val="4F81BD"/>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color w:val="4F81BD"/>
              <w:sz w:val="28"/>
              <w:szCs w:val="28"/>
              <w:lang w:val="zh-CN"/>
            </w:rPr>
            <w:t>-</w:t>
          </w:r>
          <w:r>
            <w:rPr>
              <w:rFonts w:ascii="宋体" w:hAnsi="宋体"/>
              <w:sz w:val="28"/>
              <w:szCs w:val="28"/>
            </w:rPr>
            <w:t xml:space="preserve"> 4 -</w:t>
          </w:r>
          <w:r>
            <w:rPr>
              <w:rFonts w:ascii="宋体" w:hAnsi="宋体"/>
              <w:sz w:val="28"/>
              <w:szCs w:val="28"/>
            </w:rPr>
            <w:fldChar w:fldCharType="end"/>
          </w:r>
        </w:p>
      </w:tc>
    </w:tr>
  </w:tbl>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20"/>
      </w:tabs>
      <w:rPr>
        <w:rStyle w:val="10"/>
        <w:sz w:val="24"/>
        <w:szCs w:val="24"/>
      </w:rPr>
    </w:pPr>
    <w:r>
      <w:t xml:space="preserve">                                                                                     </w:t>
    </w:r>
    <w:r>
      <w:rPr>
        <w:rStyle w:val="10"/>
        <w:sz w:val="28"/>
        <w:szCs w:val="28"/>
      </w:rPr>
      <w:t>—1—</w:t>
    </w:r>
  </w:p>
  <w:p>
    <w:pPr>
      <w:pStyle w:val="5"/>
      <w:tabs>
        <w:tab w:val="left" w:pos="720"/>
      </w:tabs>
      <w:rPr>
        <w:rStyle w:val="10"/>
        <w:sz w:val="24"/>
        <w:szCs w:val="24"/>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76"/>
    <w:rsid w:val="00002BFC"/>
    <w:rsid w:val="00004DA4"/>
    <w:rsid w:val="00027474"/>
    <w:rsid w:val="00057E95"/>
    <w:rsid w:val="00066E47"/>
    <w:rsid w:val="0006730A"/>
    <w:rsid w:val="00074DE9"/>
    <w:rsid w:val="00091CED"/>
    <w:rsid w:val="000A260D"/>
    <w:rsid w:val="000B6C17"/>
    <w:rsid w:val="000D2881"/>
    <w:rsid w:val="00101F2A"/>
    <w:rsid w:val="00105638"/>
    <w:rsid w:val="00115F91"/>
    <w:rsid w:val="00116C34"/>
    <w:rsid w:val="001472B3"/>
    <w:rsid w:val="00151403"/>
    <w:rsid w:val="00152CFD"/>
    <w:rsid w:val="00153478"/>
    <w:rsid w:val="001667D5"/>
    <w:rsid w:val="0019336A"/>
    <w:rsid w:val="001A00F8"/>
    <w:rsid w:val="001B062E"/>
    <w:rsid w:val="001B31FC"/>
    <w:rsid w:val="001C157A"/>
    <w:rsid w:val="001C2FA1"/>
    <w:rsid w:val="001F1032"/>
    <w:rsid w:val="0022433D"/>
    <w:rsid w:val="00231DD4"/>
    <w:rsid w:val="00243805"/>
    <w:rsid w:val="00265333"/>
    <w:rsid w:val="002658F0"/>
    <w:rsid w:val="0026706C"/>
    <w:rsid w:val="00280608"/>
    <w:rsid w:val="00283E3B"/>
    <w:rsid w:val="002932B4"/>
    <w:rsid w:val="002D557D"/>
    <w:rsid w:val="002D6DBF"/>
    <w:rsid w:val="00301D9C"/>
    <w:rsid w:val="003048EF"/>
    <w:rsid w:val="003141C1"/>
    <w:rsid w:val="00330EF7"/>
    <w:rsid w:val="0033341B"/>
    <w:rsid w:val="00367525"/>
    <w:rsid w:val="00381764"/>
    <w:rsid w:val="0038422B"/>
    <w:rsid w:val="003C0FE9"/>
    <w:rsid w:val="003C42A4"/>
    <w:rsid w:val="003D7FF0"/>
    <w:rsid w:val="003E064B"/>
    <w:rsid w:val="0040799A"/>
    <w:rsid w:val="0041057D"/>
    <w:rsid w:val="004106D3"/>
    <w:rsid w:val="00420A51"/>
    <w:rsid w:val="00430865"/>
    <w:rsid w:val="00431708"/>
    <w:rsid w:val="00434725"/>
    <w:rsid w:val="00440170"/>
    <w:rsid w:val="00451E11"/>
    <w:rsid w:val="00455F40"/>
    <w:rsid w:val="00472CF2"/>
    <w:rsid w:val="004800F4"/>
    <w:rsid w:val="00486409"/>
    <w:rsid w:val="004A0FB3"/>
    <w:rsid w:val="004A67E2"/>
    <w:rsid w:val="004B020E"/>
    <w:rsid w:val="004B1346"/>
    <w:rsid w:val="004B235B"/>
    <w:rsid w:val="004D2E1F"/>
    <w:rsid w:val="004D56BA"/>
    <w:rsid w:val="004E29F9"/>
    <w:rsid w:val="00515BDF"/>
    <w:rsid w:val="00550B3D"/>
    <w:rsid w:val="00552899"/>
    <w:rsid w:val="0057286B"/>
    <w:rsid w:val="00577D34"/>
    <w:rsid w:val="00593B9A"/>
    <w:rsid w:val="0059640F"/>
    <w:rsid w:val="005A12E8"/>
    <w:rsid w:val="005D5BDF"/>
    <w:rsid w:val="005E27C0"/>
    <w:rsid w:val="005F6C80"/>
    <w:rsid w:val="006027C8"/>
    <w:rsid w:val="00606F5E"/>
    <w:rsid w:val="00612875"/>
    <w:rsid w:val="00615820"/>
    <w:rsid w:val="0063325F"/>
    <w:rsid w:val="00633425"/>
    <w:rsid w:val="00635DF2"/>
    <w:rsid w:val="006434B4"/>
    <w:rsid w:val="00643B35"/>
    <w:rsid w:val="00646324"/>
    <w:rsid w:val="00671DA5"/>
    <w:rsid w:val="00682344"/>
    <w:rsid w:val="00683E20"/>
    <w:rsid w:val="006908CB"/>
    <w:rsid w:val="006A1154"/>
    <w:rsid w:val="006B73B0"/>
    <w:rsid w:val="006E3742"/>
    <w:rsid w:val="00724F8B"/>
    <w:rsid w:val="0073546F"/>
    <w:rsid w:val="00743388"/>
    <w:rsid w:val="00762EE6"/>
    <w:rsid w:val="00775AFB"/>
    <w:rsid w:val="00777180"/>
    <w:rsid w:val="00790158"/>
    <w:rsid w:val="0079198B"/>
    <w:rsid w:val="007A07F0"/>
    <w:rsid w:val="007A76C0"/>
    <w:rsid w:val="007B0EA6"/>
    <w:rsid w:val="007B6310"/>
    <w:rsid w:val="007E38C2"/>
    <w:rsid w:val="00850B1C"/>
    <w:rsid w:val="00861027"/>
    <w:rsid w:val="00866537"/>
    <w:rsid w:val="00875E02"/>
    <w:rsid w:val="00880389"/>
    <w:rsid w:val="008840FD"/>
    <w:rsid w:val="008868AF"/>
    <w:rsid w:val="00890F3B"/>
    <w:rsid w:val="00896362"/>
    <w:rsid w:val="008971F1"/>
    <w:rsid w:val="008A7E67"/>
    <w:rsid w:val="008B2C5D"/>
    <w:rsid w:val="008E1405"/>
    <w:rsid w:val="008E23A5"/>
    <w:rsid w:val="0092675C"/>
    <w:rsid w:val="00932214"/>
    <w:rsid w:val="009419D1"/>
    <w:rsid w:val="00965769"/>
    <w:rsid w:val="0098055D"/>
    <w:rsid w:val="00980679"/>
    <w:rsid w:val="009A7E0A"/>
    <w:rsid w:val="009B1B20"/>
    <w:rsid w:val="009B6B12"/>
    <w:rsid w:val="009C1C82"/>
    <w:rsid w:val="009E16A7"/>
    <w:rsid w:val="009E2259"/>
    <w:rsid w:val="009E24C0"/>
    <w:rsid w:val="009E5143"/>
    <w:rsid w:val="00A0773E"/>
    <w:rsid w:val="00A14A3F"/>
    <w:rsid w:val="00A15E06"/>
    <w:rsid w:val="00A174E3"/>
    <w:rsid w:val="00A27001"/>
    <w:rsid w:val="00A31A9C"/>
    <w:rsid w:val="00A338F4"/>
    <w:rsid w:val="00A36CD4"/>
    <w:rsid w:val="00A63D7F"/>
    <w:rsid w:val="00A64B36"/>
    <w:rsid w:val="00A71A01"/>
    <w:rsid w:val="00A75569"/>
    <w:rsid w:val="00A80E70"/>
    <w:rsid w:val="00A90BD8"/>
    <w:rsid w:val="00AB2220"/>
    <w:rsid w:val="00AC603D"/>
    <w:rsid w:val="00AD2996"/>
    <w:rsid w:val="00AD57E1"/>
    <w:rsid w:val="00AE456C"/>
    <w:rsid w:val="00AF269E"/>
    <w:rsid w:val="00AF6418"/>
    <w:rsid w:val="00B15CD1"/>
    <w:rsid w:val="00B35893"/>
    <w:rsid w:val="00B37423"/>
    <w:rsid w:val="00B403FE"/>
    <w:rsid w:val="00B61695"/>
    <w:rsid w:val="00B702CF"/>
    <w:rsid w:val="00B770E8"/>
    <w:rsid w:val="00BA7342"/>
    <w:rsid w:val="00BB20D2"/>
    <w:rsid w:val="00BC1FC8"/>
    <w:rsid w:val="00BC7469"/>
    <w:rsid w:val="00BD4E10"/>
    <w:rsid w:val="00BE3203"/>
    <w:rsid w:val="00C27650"/>
    <w:rsid w:val="00C43FE6"/>
    <w:rsid w:val="00C626AB"/>
    <w:rsid w:val="00C75BFC"/>
    <w:rsid w:val="00C80741"/>
    <w:rsid w:val="00C97AEA"/>
    <w:rsid w:val="00CA2556"/>
    <w:rsid w:val="00CA57A2"/>
    <w:rsid w:val="00CA5BAD"/>
    <w:rsid w:val="00CA6C02"/>
    <w:rsid w:val="00CB2C85"/>
    <w:rsid w:val="00CC36EB"/>
    <w:rsid w:val="00CD0442"/>
    <w:rsid w:val="00CE74AF"/>
    <w:rsid w:val="00CF3563"/>
    <w:rsid w:val="00D12324"/>
    <w:rsid w:val="00D25F37"/>
    <w:rsid w:val="00D277F0"/>
    <w:rsid w:val="00D3460B"/>
    <w:rsid w:val="00D42855"/>
    <w:rsid w:val="00D44522"/>
    <w:rsid w:val="00D44AE6"/>
    <w:rsid w:val="00D55CA4"/>
    <w:rsid w:val="00D57F79"/>
    <w:rsid w:val="00D62876"/>
    <w:rsid w:val="00D776CE"/>
    <w:rsid w:val="00D8302E"/>
    <w:rsid w:val="00D87EC3"/>
    <w:rsid w:val="00D9352D"/>
    <w:rsid w:val="00DA06DB"/>
    <w:rsid w:val="00DA0F15"/>
    <w:rsid w:val="00DB01FF"/>
    <w:rsid w:val="00DB4B3F"/>
    <w:rsid w:val="00DB514E"/>
    <w:rsid w:val="00DC73E3"/>
    <w:rsid w:val="00DE3539"/>
    <w:rsid w:val="00DF2B0B"/>
    <w:rsid w:val="00DF4847"/>
    <w:rsid w:val="00E007AD"/>
    <w:rsid w:val="00E164C8"/>
    <w:rsid w:val="00E16A5C"/>
    <w:rsid w:val="00E23C9F"/>
    <w:rsid w:val="00E24EB4"/>
    <w:rsid w:val="00E27598"/>
    <w:rsid w:val="00E375AF"/>
    <w:rsid w:val="00E40F50"/>
    <w:rsid w:val="00E40FA2"/>
    <w:rsid w:val="00E53213"/>
    <w:rsid w:val="00E5632E"/>
    <w:rsid w:val="00E85BA3"/>
    <w:rsid w:val="00EA6CFA"/>
    <w:rsid w:val="00ED444E"/>
    <w:rsid w:val="00ED6AFB"/>
    <w:rsid w:val="00EF4BF4"/>
    <w:rsid w:val="00F27A71"/>
    <w:rsid w:val="00F27C30"/>
    <w:rsid w:val="00F37A74"/>
    <w:rsid w:val="00F448D9"/>
    <w:rsid w:val="00F62F18"/>
    <w:rsid w:val="00F92605"/>
    <w:rsid w:val="00F97088"/>
    <w:rsid w:val="00FA0801"/>
    <w:rsid w:val="00FA3241"/>
    <w:rsid w:val="00FB33B5"/>
    <w:rsid w:val="00FB7520"/>
    <w:rsid w:val="00FC0E55"/>
    <w:rsid w:val="00FC7157"/>
    <w:rsid w:val="00FD1830"/>
    <w:rsid w:val="00FE33AA"/>
    <w:rsid w:val="00FE6EA9"/>
    <w:rsid w:val="00FF6BF4"/>
    <w:rsid w:val="00FF6EB6"/>
    <w:rsid w:val="07AFC951"/>
    <w:rsid w:val="07DF20F6"/>
    <w:rsid w:val="0CD56C1D"/>
    <w:rsid w:val="16DE3E4E"/>
    <w:rsid w:val="18AA6F4B"/>
    <w:rsid w:val="1BF7F18D"/>
    <w:rsid w:val="1C7FD81E"/>
    <w:rsid w:val="1DCD566A"/>
    <w:rsid w:val="1DDE47BE"/>
    <w:rsid w:val="1EB18794"/>
    <w:rsid w:val="2B4B31F3"/>
    <w:rsid w:val="2FEF1815"/>
    <w:rsid w:val="2FFFDF30"/>
    <w:rsid w:val="2FFFE7B4"/>
    <w:rsid w:val="313D08C4"/>
    <w:rsid w:val="33EF20B7"/>
    <w:rsid w:val="35FF72DD"/>
    <w:rsid w:val="367D24F1"/>
    <w:rsid w:val="375F0B38"/>
    <w:rsid w:val="3BFBCA77"/>
    <w:rsid w:val="3CFF1E35"/>
    <w:rsid w:val="3E9D1115"/>
    <w:rsid w:val="3EB2749A"/>
    <w:rsid w:val="3EBFD634"/>
    <w:rsid w:val="3EE7D793"/>
    <w:rsid w:val="3EEFECA8"/>
    <w:rsid w:val="3EF727A4"/>
    <w:rsid w:val="3F7E9D8E"/>
    <w:rsid w:val="3FDBB2E0"/>
    <w:rsid w:val="41757736"/>
    <w:rsid w:val="42AB7E68"/>
    <w:rsid w:val="48DD53C0"/>
    <w:rsid w:val="4EADF2BD"/>
    <w:rsid w:val="4FFF75FB"/>
    <w:rsid w:val="539E6246"/>
    <w:rsid w:val="55FC39DB"/>
    <w:rsid w:val="57369BA6"/>
    <w:rsid w:val="57DF671B"/>
    <w:rsid w:val="57FBC36F"/>
    <w:rsid w:val="5B7F6363"/>
    <w:rsid w:val="5BFA52C2"/>
    <w:rsid w:val="5BFBC188"/>
    <w:rsid w:val="5CD38834"/>
    <w:rsid w:val="5DBF86AE"/>
    <w:rsid w:val="5DFB8A34"/>
    <w:rsid w:val="5EFB9366"/>
    <w:rsid w:val="5EFD8A16"/>
    <w:rsid w:val="5FBFEC64"/>
    <w:rsid w:val="5FEBE496"/>
    <w:rsid w:val="60A1747E"/>
    <w:rsid w:val="64AB25D6"/>
    <w:rsid w:val="6716129C"/>
    <w:rsid w:val="67EB3FCC"/>
    <w:rsid w:val="687B344E"/>
    <w:rsid w:val="6ADFEB9C"/>
    <w:rsid w:val="6CBC7256"/>
    <w:rsid w:val="6DFFF32E"/>
    <w:rsid w:val="6EEF7AF1"/>
    <w:rsid w:val="6EF7947F"/>
    <w:rsid w:val="6F69666F"/>
    <w:rsid w:val="6F6D79CA"/>
    <w:rsid w:val="6F9CC439"/>
    <w:rsid w:val="6FBB9F55"/>
    <w:rsid w:val="6FDF7990"/>
    <w:rsid w:val="6FFB6245"/>
    <w:rsid w:val="71FE1C69"/>
    <w:rsid w:val="737D2F97"/>
    <w:rsid w:val="73AFF2CC"/>
    <w:rsid w:val="73BD0B50"/>
    <w:rsid w:val="747EB3C6"/>
    <w:rsid w:val="75F7579B"/>
    <w:rsid w:val="7690F808"/>
    <w:rsid w:val="77667B47"/>
    <w:rsid w:val="77A75C7B"/>
    <w:rsid w:val="77FB07C5"/>
    <w:rsid w:val="79DB7C4E"/>
    <w:rsid w:val="79FA2AE8"/>
    <w:rsid w:val="7B6E077C"/>
    <w:rsid w:val="7B9D376B"/>
    <w:rsid w:val="7BDD3EBD"/>
    <w:rsid w:val="7BDF302F"/>
    <w:rsid w:val="7CB6B3CC"/>
    <w:rsid w:val="7CFEFDD6"/>
    <w:rsid w:val="7D1EB2F2"/>
    <w:rsid w:val="7E3F434A"/>
    <w:rsid w:val="7E7F5AA2"/>
    <w:rsid w:val="7EDE6C01"/>
    <w:rsid w:val="7EE11D07"/>
    <w:rsid w:val="7EFEAF5D"/>
    <w:rsid w:val="7F370859"/>
    <w:rsid w:val="7F760A0E"/>
    <w:rsid w:val="7FD83E82"/>
    <w:rsid w:val="7FEFC7DB"/>
    <w:rsid w:val="7FF79889"/>
    <w:rsid w:val="7FF7EA70"/>
    <w:rsid w:val="7FFCDE73"/>
    <w:rsid w:val="7FFFE3DA"/>
    <w:rsid w:val="9FBD5980"/>
    <w:rsid w:val="A08E6D46"/>
    <w:rsid w:val="B696B952"/>
    <w:rsid w:val="B70F71BE"/>
    <w:rsid w:val="B75DD362"/>
    <w:rsid w:val="B7E64E7C"/>
    <w:rsid w:val="BB7EB869"/>
    <w:rsid w:val="BD7C2B86"/>
    <w:rsid w:val="BDFE1072"/>
    <w:rsid w:val="BDFF55A1"/>
    <w:rsid w:val="BEB94A3E"/>
    <w:rsid w:val="BEFC0543"/>
    <w:rsid w:val="BF6F2353"/>
    <w:rsid w:val="BFDF7AB8"/>
    <w:rsid w:val="BFED11F9"/>
    <w:rsid w:val="BFFFB8BB"/>
    <w:rsid w:val="C1FFFE7D"/>
    <w:rsid w:val="C5B65382"/>
    <w:rsid w:val="C65FB0BA"/>
    <w:rsid w:val="CBFE1084"/>
    <w:rsid w:val="CEFF4A92"/>
    <w:rsid w:val="CFF6A449"/>
    <w:rsid w:val="D7F2C9B4"/>
    <w:rsid w:val="D7F98155"/>
    <w:rsid w:val="D83AEE1B"/>
    <w:rsid w:val="D9E5C3E9"/>
    <w:rsid w:val="DBFAB60E"/>
    <w:rsid w:val="DC29E6AC"/>
    <w:rsid w:val="DCCBB180"/>
    <w:rsid w:val="DCED2891"/>
    <w:rsid w:val="DDF97F3F"/>
    <w:rsid w:val="DDFFD36B"/>
    <w:rsid w:val="DF5F266F"/>
    <w:rsid w:val="DFEF81E8"/>
    <w:rsid w:val="E3BD6FEE"/>
    <w:rsid w:val="E772DFBE"/>
    <w:rsid w:val="E7FCCC7F"/>
    <w:rsid w:val="E7FDC16A"/>
    <w:rsid w:val="EAFF4326"/>
    <w:rsid w:val="EBBE04EC"/>
    <w:rsid w:val="ECAD7D4B"/>
    <w:rsid w:val="EDF83B7A"/>
    <w:rsid w:val="EE9D28AC"/>
    <w:rsid w:val="EEBD4768"/>
    <w:rsid w:val="EFB56DB8"/>
    <w:rsid w:val="EFB5C50D"/>
    <w:rsid w:val="EFFFBBB4"/>
    <w:rsid w:val="F37B0339"/>
    <w:rsid w:val="F3B5477E"/>
    <w:rsid w:val="F52EC0CC"/>
    <w:rsid w:val="F5FF060A"/>
    <w:rsid w:val="F7DFA1CC"/>
    <w:rsid w:val="F7E39834"/>
    <w:rsid w:val="F7FD21EF"/>
    <w:rsid w:val="FA9C755C"/>
    <w:rsid w:val="FB3FE504"/>
    <w:rsid w:val="FB4B880D"/>
    <w:rsid w:val="FBDD6C60"/>
    <w:rsid w:val="FBE772E6"/>
    <w:rsid w:val="FCBFB40B"/>
    <w:rsid w:val="FCC4DAC0"/>
    <w:rsid w:val="FCF9D9EF"/>
    <w:rsid w:val="FD760E04"/>
    <w:rsid w:val="FD7F3860"/>
    <w:rsid w:val="FDEDB110"/>
    <w:rsid w:val="FDEF6E13"/>
    <w:rsid w:val="FDEF7F17"/>
    <w:rsid w:val="FDFF86F2"/>
    <w:rsid w:val="FECF266F"/>
    <w:rsid w:val="FEDB5DB5"/>
    <w:rsid w:val="FEDFE529"/>
    <w:rsid w:val="FEE7D4FF"/>
    <w:rsid w:val="FEFD44C0"/>
    <w:rsid w:val="FF35A64F"/>
    <w:rsid w:val="FF3E0C69"/>
    <w:rsid w:val="FFAD6A3F"/>
    <w:rsid w:val="FFAFCF62"/>
    <w:rsid w:val="FFD36634"/>
    <w:rsid w:val="FFF72439"/>
    <w:rsid w:val="FFFE1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6" w:lineRule="auto"/>
      <w:outlineLvl w:val="0"/>
    </w:pPr>
    <w:rPr>
      <w:rFonts w:cs="Calibri"/>
      <w:b/>
      <w:kern w:val="44"/>
      <w:sz w:val="44"/>
      <w:szCs w:val="21"/>
    </w:rPr>
  </w:style>
  <w:style w:type="paragraph" w:styleId="3">
    <w:name w:val="heading 2"/>
    <w:basedOn w:val="1"/>
    <w:next w:val="1"/>
    <w:link w:val="12"/>
    <w:qFormat/>
    <w:uiPriority w:val="0"/>
    <w:pPr>
      <w:keepNext/>
      <w:keepLines/>
      <w:spacing w:before="260" w:after="260" w:line="416" w:lineRule="auto"/>
      <w:outlineLvl w:val="1"/>
    </w:pPr>
    <w:rPr>
      <w:rFonts w:ascii="Cambria" w:hAnsi="Cambria" w:cs="Calibri"/>
      <w:b/>
      <w:bCs/>
      <w:sz w:val="32"/>
      <w:szCs w:val="32"/>
    </w:rPr>
  </w:style>
  <w:style w:type="paragraph" w:styleId="4">
    <w:name w:val="heading 3"/>
    <w:basedOn w:val="1"/>
    <w:next w:val="1"/>
    <w:link w:val="13"/>
    <w:qFormat/>
    <w:uiPriority w:val="0"/>
    <w:pPr>
      <w:keepNext/>
      <w:keepLines/>
      <w:spacing w:before="260" w:after="260" w:line="416" w:lineRule="auto"/>
      <w:outlineLvl w:val="2"/>
    </w:pPr>
    <w:rPr>
      <w:rFonts w:cs="Calibr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nhideWhenUsed/>
    <w:qFormat/>
    <w:uiPriority w:val="99"/>
    <w:pPr>
      <w:tabs>
        <w:tab w:val="center" w:pos="4153"/>
        <w:tab w:val="right" w:pos="8306"/>
      </w:tabs>
      <w:snapToGrid w:val="0"/>
      <w:jc w:val="left"/>
    </w:pPr>
    <w:rPr>
      <w:rFonts w:cs="Calibri"/>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5"/>
    <w:qFormat/>
    <w:uiPriority w:val="0"/>
    <w:pPr>
      <w:spacing w:before="240" w:after="60"/>
      <w:jc w:val="center"/>
      <w:outlineLvl w:val="0"/>
    </w:pPr>
    <w:rPr>
      <w:rFonts w:ascii="Calibri Light" w:hAnsi="Calibri Light"/>
      <w:b/>
      <w:bCs/>
      <w:sz w:val="32"/>
      <w:szCs w:val="32"/>
    </w:rPr>
  </w:style>
  <w:style w:type="character" w:styleId="10">
    <w:name w:val="page number"/>
    <w:qFormat/>
    <w:uiPriority w:val="0"/>
    <w:rPr>
      <w:rFonts w:cs="Times New Roman"/>
    </w:rPr>
  </w:style>
  <w:style w:type="character" w:customStyle="1" w:styleId="11">
    <w:name w:val="标题 1 Char"/>
    <w:basedOn w:val="9"/>
    <w:link w:val="2"/>
    <w:qFormat/>
    <w:uiPriority w:val="0"/>
    <w:rPr>
      <w:rFonts w:cs="Calibri"/>
      <w:b/>
      <w:kern w:val="44"/>
      <w:sz w:val="44"/>
      <w:szCs w:val="21"/>
    </w:rPr>
  </w:style>
  <w:style w:type="character" w:customStyle="1" w:styleId="12">
    <w:name w:val="标题 2 Char"/>
    <w:basedOn w:val="9"/>
    <w:link w:val="3"/>
    <w:qFormat/>
    <w:uiPriority w:val="0"/>
    <w:rPr>
      <w:rFonts w:ascii="Cambria" w:hAnsi="Cambria" w:cs="Calibri"/>
      <w:b/>
      <w:bCs/>
      <w:kern w:val="2"/>
      <w:sz w:val="32"/>
      <w:szCs w:val="32"/>
    </w:rPr>
  </w:style>
  <w:style w:type="character" w:customStyle="1" w:styleId="13">
    <w:name w:val="标题 3 Char"/>
    <w:basedOn w:val="9"/>
    <w:link w:val="4"/>
    <w:qFormat/>
    <w:uiPriority w:val="0"/>
    <w:rPr>
      <w:rFonts w:cs="Calibri"/>
      <w:b/>
      <w:bCs/>
      <w:kern w:val="2"/>
      <w:sz w:val="32"/>
      <w:szCs w:val="32"/>
    </w:rPr>
  </w:style>
  <w:style w:type="character" w:customStyle="1" w:styleId="14">
    <w:name w:val="页脚 Char"/>
    <w:basedOn w:val="9"/>
    <w:link w:val="5"/>
    <w:qFormat/>
    <w:uiPriority w:val="99"/>
    <w:rPr>
      <w:rFonts w:cs="Calibri"/>
      <w:kern w:val="2"/>
      <w:sz w:val="18"/>
      <w:szCs w:val="18"/>
    </w:rPr>
  </w:style>
  <w:style w:type="character" w:customStyle="1" w:styleId="15">
    <w:name w:val="标题 Char"/>
    <w:basedOn w:val="9"/>
    <w:link w:val="7"/>
    <w:qFormat/>
    <w:uiPriority w:val="0"/>
    <w:rPr>
      <w:rFonts w:ascii="Calibri Light" w:hAnsi="Calibri Light"/>
      <w:b/>
      <w:bCs/>
      <w:kern w:val="2"/>
      <w:sz w:val="32"/>
      <w:szCs w:val="32"/>
    </w:rPr>
  </w:style>
  <w:style w:type="character" w:customStyle="1" w:styleId="16">
    <w:name w:val="页眉 Char"/>
    <w:basedOn w:val="9"/>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486</Words>
  <Characters>2774</Characters>
  <Lines>23</Lines>
  <Paragraphs>6</Paragraphs>
  <TotalTime>19</TotalTime>
  <ScaleCrop>false</ScaleCrop>
  <LinksUpToDate>false</LinksUpToDate>
  <CharactersWithSpaces>3254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2020-04-04T02:06:00Z</dcterms:created>
  <dc:creator>张雅静</dc:creator>
  <cp:lastModifiedBy>kylin</cp:lastModifiedBy>
  <cp:lastPrinted>2021-09-29T13:37:00Z</cp:lastPrinted>
  <dcterms:modified xsi:type="dcterms:W3CDTF">2021-10-08T15:06:00Z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