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"/>
        </w:rPr>
        <w:t>大港街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“儿童食品”市场食品安全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风险专项整治行动方案</w:t>
      </w:r>
    </w:p>
    <w:p>
      <w:pPr>
        <w:spacing w:line="594" w:lineRule="exact"/>
        <w:jc w:val="left"/>
        <w:rPr>
          <w:rFonts w:hAnsi="宋体" w:cs="宋体"/>
          <w:color w:val="000000"/>
          <w:kern w:val="0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    为进一步消除“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儿童食品”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市场食品安全风险隐患，净化食品安全环境，决定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自2021年10月</w:t>
      </w:r>
      <w:r>
        <w:rPr>
          <w:rFonts w:hint="eastAsia" w:ascii="仿宋_GB2312" w:hAnsi="Times New Roman" w:eastAsia="仿宋_GB2312"/>
          <w:sz w:val="32"/>
          <w:szCs w:val="32"/>
          <w:lang w:val="en-US" w:eastAsia="zh-CN" w:bidi="ar"/>
        </w:rPr>
        <w:t>29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日起至2021年12月31日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在全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范围内开展儿童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食品安全风险专项整治行动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，制定本方案。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一、整治重点</w:t>
      </w:r>
    </w:p>
    <w:p>
      <w:pPr>
        <w:spacing w:line="600" w:lineRule="exact"/>
        <w:rPr>
          <w:rFonts w:ascii="楷体_GB2312" w:hAnsi="CESI楷体-GB2312" w:eastAsia="楷体_GB2312" w:cs="CESI楷体-GB2312"/>
          <w:b w:val="0"/>
          <w:bCs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/>
          <w:sz w:val="32"/>
          <w:szCs w:val="32"/>
          <w:lang w:bidi="ar"/>
        </w:rPr>
        <w:t xml:space="preserve">   </w:t>
      </w:r>
      <w:r>
        <w:rPr>
          <w:rFonts w:hint="eastAsia" w:ascii="楷体_GB2312" w:hAnsi="CESI楷体-GB2312" w:eastAsia="楷体_GB2312" w:cs="CESI楷体-GB2312"/>
          <w:b w:val="0"/>
          <w:bCs/>
          <w:sz w:val="32"/>
          <w:szCs w:val="32"/>
          <w:lang w:bidi="ar"/>
        </w:rPr>
        <w:t xml:space="preserve"> （一）重点对象</w:t>
      </w:r>
    </w:p>
    <w:p>
      <w:pPr>
        <w:spacing w:line="600" w:lineRule="exact"/>
        <w:ind w:firstLine="640"/>
        <w:rPr>
          <w:rFonts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中小学校（幼儿园）周边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食品生产经营者，食品批发市场、食品销售摊贩。</w:t>
      </w:r>
    </w:p>
    <w:p>
      <w:pPr>
        <w:spacing w:line="600" w:lineRule="exact"/>
        <w:rPr>
          <w:rFonts w:ascii="楷体_GB2312" w:hAnsi="CESI楷体-GB2312" w:eastAsia="楷体_GB2312" w:cs="CESI楷体-GB2312"/>
          <w:b w:val="0"/>
          <w:bCs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/>
          <w:sz w:val="32"/>
          <w:szCs w:val="32"/>
          <w:lang w:bidi="ar"/>
        </w:rPr>
        <w:t xml:space="preserve">    </w:t>
      </w:r>
      <w:r>
        <w:rPr>
          <w:rFonts w:hint="eastAsia" w:ascii="楷体_GB2312" w:hAnsi="CESI楷体-GB2312" w:eastAsia="楷体_GB2312" w:cs="CESI楷体-GB2312"/>
          <w:b w:val="0"/>
          <w:bCs/>
          <w:sz w:val="32"/>
          <w:szCs w:val="32"/>
          <w:lang w:bidi="ar"/>
        </w:rPr>
        <w:t>（二）重点品种</w:t>
      </w:r>
    </w:p>
    <w:p>
      <w:pPr>
        <w:spacing w:line="600" w:lineRule="exact"/>
        <w:jc w:val="left"/>
        <w:rPr>
          <w:rFonts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辣条等调味面制品、油炸面制品、膨化食品、豆制品、糖果、果味饮料等学生、儿童消费量大的低价食品（以下简称“儿童食品”）。</w:t>
      </w:r>
    </w:p>
    <w:p>
      <w:pPr>
        <w:numPr>
          <w:ilvl w:val="0"/>
          <w:numId w:val="1"/>
        </w:numPr>
        <w:spacing w:line="600" w:lineRule="exact"/>
        <w:ind w:left="642" w:leftChars="0" w:firstLine="0" w:firstLineChars="0"/>
        <w:rPr>
          <w:rFonts w:hint="eastAsia" w:ascii="楷体_GB2312" w:hAnsi="CESI楷体-GB2312" w:eastAsia="楷体_GB2312" w:cs="CESI楷体-GB2312"/>
          <w:b w:val="0"/>
          <w:bCs/>
          <w:sz w:val="32"/>
          <w:szCs w:val="32"/>
          <w:lang w:val="en" w:eastAsia="zh-CN" w:bidi="ar"/>
        </w:rPr>
      </w:pPr>
      <w:r>
        <w:rPr>
          <w:rFonts w:hint="eastAsia" w:ascii="楷体_GB2312" w:hAnsi="CESI楷体-GB2312" w:eastAsia="楷体_GB2312" w:cs="CESI楷体-GB2312"/>
          <w:b w:val="0"/>
          <w:bCs/>
          <w:sz w:val="32"/>
          <w:szCs w:val="32"/>
          <w:lang w:val="en" w:eastAsia="zh-CN" w:bidi="ar"/>
        </w:rPr>
        <w:t>重点行为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.严厉查处无证无照生产经营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行为。国家对食品生产经营实行许可制度，对仅销售预包装食品实行备案制度，我区对食品摊贩实行备案制度。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严格按照《食品安全法》及其实施条例、《食品生产许可管理办法》《食品经营许可管理办法》《天津市食品生产加工小作坊和食品摊贩监督管理办法》及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bCs/>
          <w:sz w:val="32"/>
          <w:szCs w:val="32"/>
        </w:rPr>
        <w:t>滨海新区流动经营食品摊贩限时限地管理暂行规定</w:t>
      </w:r>
      <w:r>
        <w:rPr>
          <w:rFonts w:eastAsia="仿宋_GB2312"/>
          <w:sz w:val="32"/>
          <w:szCs w:val="32"/>
        </w:rPr>
        <w:t>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等法律法规规章的规定，对重点区域、重点场所相关主体开展全面摸排，对无照无证、超范围生产经营的“儿童食品”生产经营单位进行彻底清理、严肃查处。</w:t>
      </w:r>
    </w:p>
    <w:p>
      <w:pPr>
        <w:spacing w:line="600" w:lineRule="exact"/>
        <w:ind w:left="0" w:leftChars="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严厉打击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经营者主体责任落实不到位行为。重点整治经营场所“脏乱差”、未按要求开展食品安全自查、从业人员无健康证、未严格履行进货查验义务、温度控制和记录不符合要求、违反禁止向未成年人售酒规定等违法违规行为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严厉打击经营不合格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的违法违规行为。重点整治生产经营不符合食品安全标准的低价食品、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来源不明、“三无”（无厂名、无厂址、无生产日期）、无中文标识、超过保质期、腐败变质食品和储藏不符合规定的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经营者、食品销售摊贩。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.严厉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打击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标签标识、食品广告含有虚假内容等违法违规行为。重点整治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名称不真实、食品标签标识虚假、以欺骗或误导的方式描述或者介绍食品、食品广告内容不真实等违法违规行为。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严厉打击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销售摊贩乱摆乱卖、占道经营等违法违规行为。重点整治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违法占用道路和公共场所从事摆卖、加工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“儿童食品”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等行为。查处取缔校园周边100米范围内摆摊设点或者不符合限时限地规定要求的食品摊贩。</w:t>
      </w:r>
    </w:p>
    <w:p>
      <w:pPr>
        <w:spacing w:line="600" w:lineRule="exact"/>
        <w:ind w:firstLine="645"/>
        <w:rPr>
          <w:rFonts w:ascii="Times New Roman" w:hAnsi="Times New Roman" w:eastAsia="黑体" w:cs="黑体"/>
          <w:color w:val="333333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color w:val="333333"/>
          <w:sz w:val="32"/>
          <w:szCs w:val="32"/>
          <w:lang w:bidi="ar"/>
        </w:rPr>
        <w:t>二、具体步骤</w:t>
      </w:r>
    </w:p>
    <w:p>
      <w:pPr>
        <w:spacing w:line="600" w:lineRule="exact"/>
        <w:ind w:firstLine="480" w:firstLineChars="150"/>
        <w:rPr>
          <w:rFonts w:hint="eastAsia" w:ascii="仿宋_GB2312" w:hAnsi="Times New Roman" w:eastAsia="仿宋_GB2312"/>
          <w:color w:val="000000"/>
          <w:kern w:val="0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10月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日前召开动员部署会议，启动专项整治行动，12月31日前完成督查考核。分三个阶段推动：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b w:val="0"/>
          <w:bCs/>
          <w:szCs w:val="32"/>
        </w:rPr>
      </w:pP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第一阶段：部署动员阶段（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bidi="ar"/>
        </w:rPr>
        <w:t>10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月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val="en-US" w:eastAsia="zh-CN" w:bidi="ar"/>
        </w:rPr>
        <w:t>31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日前）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b w:val="0"/>
          <w:bCs/>
          <w:color w:val="000000"/>
          <w:kern w:val="0"/>
          <w:szCs w:val="32"/>
        </w:rPr>
      </w:pP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bidi="ar"/>
        </w:rPr>
        <w:t>10月</w:t>
      </w: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bidi="ar"/>
        </w:rPr>
        <w:t>日前制定方案，完成动员部署。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b w:val="0"/>
          <w:bCs/>
          <w:szCs w:val="32"/>
        </w:rPr>
      </w:pP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第二阶段：集中整治阶段（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bidi="ar"/>
        </w:rPr>
        <w:t>1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月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日至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bidi="ar"/>
        </w:rPr>
        <w:t>12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月底）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b w:val="0"/>
          <w:bCs/>
          <w:color w:val="000000"/>
          <w:kern w:val="0"/>
          <w:szCs w:val="32"/>
        </w:rPr>
      </w:pP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bidi="ar"/>
        </w:rPr>
        <w:t>对重点对象、重点品种、重点行为开展集中整治。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b w:val="0"/>
          <w:bCs/>
          <w:szCs w:val="32"/>
        </w:rPr>
      </w:pP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第三阶段：督查考核阶段（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bidi="ar"/>
        </w:rPr>
        <w:t>12</w:t>
      </w:r>
      <w:r>
        <w:rPr>
          <w:rFonts w:hint="eastAsia" w:ascii="仿宋_GB2312" w:hAnsi="Times New Roman" w:eastAsia="仿宋_GB2312" w:cs="楷体_GB2312"/>
          <w:b w:val="0"/>
          <w:bCs/>
          <w:sz w:val="32"/>
          <w:szCs w:val="32"/>
          <w:lang w:bidi="ar"/>
        </w:rPr>
        <w:t>月底前）</w:t>
      </w:r>
    </w:p>
    <w:p>
      <w:pPr>
        <w:spacing w:line="600" w:lineRule="exact"/>
        <w:ind w:firstLine="640" w:firstLineChars="200"/>
        <w:jc w:val="left"/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迎接区级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专项整治行动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 w:bidi="ar"/>
        </w:rPr>
        <w:t>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暗访督查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及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市级督查考核验收。</w:t>
      </w:r>
    </w:p>
    <w:p>
      <w:pPr>
        <w:spacing w:line="600" w:lineRule="exact"/>
        <w:ind w:firstLine="800" w:firstLineChars="250"/>
        <w:rPr>
          <w:rFonts w:ascii="Times New Roman" w:hAnsi="Times New Roman" w:eastAsia="黑体"/>
          <w:color w:val="333333"/>
          <w:szCs w:val="32"/>
        </w:rPr>
      </w:pPr>
      <w:r>
        <w:rPr>
          <w:rFonts w:hint="eastAsia" w:ascii="Times New Roman" w:hAnsi="Times New Roman" w:eastAsia="黑体" w:cs="黑体"/>
          <w:color w:val="333333"/>
          <w:sz w:val="32"/>
          <w:szCs w:val="32"/>
          <w:lang w:bidi="ar"/>
        </w:rPr>
        <w:t>三、任务分工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6"/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  <w:lang w:eastAsia="zh-CN"/>
        </w:rPr>
        <w:t>街</w:t>
      </w: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食安办。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制定工作实施方案。组织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推动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辖区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“儿童食品”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市场食品安全风险整治</w:t>
      </w:r>
      <w:r>
        <w:rPr>
          <w:rFonts w:ascii="仿宋_GB2312" w:hAnsi="Times New Roman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行动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更新辖区食品经营单位信息台账，收集汇总“儿童食品”经营违法违规行为线索，及时移交执法部门。协调联动市场监管所、综合执法大队，依法依规处置“儿童食品”经营违法违规行为和校园（幼儿园）周边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违法占路经营的食品摊贩。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6"/>
        <w:jc w:val="both"/>
        <w:rPr>
          <w:rFonts w:hint="default" w:ascii="Times New Roman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（二）各</w:t>
      </w:r>
      <w:r>
        <w:rPr>
          <w:rFonts w:hint="eastAsia"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  <w:lang w:eastAsia="zh-CN"/>
        </w:rPr>
        <w:t>社区</w:t>
      </w: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。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落实食品安全属地管理要求，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依照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辖区实施方案，明确目标任务、整治重点和办法措施，落实属地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“儿童食品”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市场食品安全风险</w:t>
      </w:r>
      <w:bookmarkStart w:id="0" w:name="_GoBack"/>
      <w:bookmarkEnd w:id="0"/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整治行动。重点进行专项整治宣传、排查、线索移交、</w:t>
      </w:r>
      <w:r>
        <w:rPr>
          <w:rFonts w:hint="eastAsia"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信息记录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等工作。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exact"/>
        <w:ind w:firstLine="646"/>
        <w:jc w:val="both"/>
        <w:rPr>
          <w:rFonts w:hint="default" w:ascii="Times New Roman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  <w:lang w:eastAsia="zh-CN"/>
        </w:rPr>
        <w:t>三</w:t>
      </w: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  <w:lang w:eastAsia="zh-CN"/>
        </w:rPr>
        <w:t>综合执法大队</w:t>
      </w:r>
      <w:r>
        <w:rPr>
          <w:rFonts w:ascii="Times New Roman" w:hAnsi="Times New Roman" w:eastAsia="楷体_GB2312"/>
          <w:b w:val="0"/>
          <w:bCs/>
          <w:kern w:val="2"/>
          <w:sz w:val="32"/>
          <w:szCs w:val="32"/>
          <w:shd w:val="clear" w:color="auto" w:fill="FFFFFF"/>
        </w:rPr>
        <w:t>。</w:t>
      </w:r>
      <w:r>
        <w:rPr>
          <w:rFonts w:ascii="仿宋_GB2312" w:hAnsi="Times New Roman" w:eastAsia="仿宋_GB2312"/>
          <w:b w:val="0"/>
          <w:bCs/>
          <w:color w:val="000000"/>
          <w:sz w:val="32"/>
          <w:szCs w:val="32"/>
          <w:shd w:val="clear" w:color="auto" w:fill="FFFFFF"/>
        </w:rPr>
        <w:t>依法查处校园周边100米范围内违法占路经营的食品摊贩。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黑体"/>
          <w:b w:val="0"/>
          <w:bCs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bidi="ar"/>
        </w:rPr>
        <w:t>四、工作要求</w:t>
      </w:r>
    </w:p>
    <w:p>
      <w:pPr>
        <w:spacing w:line="600" w:lineRule="exact"/>
        <w:ind w:firstLine="480" w:firstLineChars="150"/>
        <w:jc w:val="left"/>
        <w:rPr>
          <w:rFonts w:hAnsi="Times New Roman"/>
          <w:color w:val="000000"/>
          <w:kern w:val="0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  <w:lang w:bidi="ar"/>
        </w:rPr>
        <w:t>（一）</w:t>
      </w:r>
      <w:r>
        <w:rPr>
          <w:rFonts w:hint="eastAsia" w:ascii="楷体_GB2312" w:eastAsia="楷体_GB2312" w:cs="楷体_GB2312"/>
          <w:b w:val="0"/>
          <w:bCs/>
          <w:sz w:val="32"/>
          <w:szCs w:val="32"/>
        </w:rPr>
        <w:t>重在治乱，务求实效。</w:t>
      </w: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bidi="ar"/>
        </w:rPr>
        <w:t>各</w:t>
      </w: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eastAsia="zh-CN" w:bidi="ar"/>
        </w:rPr>
        <w:t>社区、各部门</w:t>
      </w:r>
      <w:r>
        <w:rPr>
          <w:rFonts w:hint="eastAsia" w:ascii="仿宋_GB2312" w:hAnsi="Times New Roman" w:eastAsia="仿宋_GB2312"/>
          <w:b w:val="0"/>
          <w:bCs/>
          <w:color w:val="000000"/>
          <w:kern w:val="0"/>
          <w:sz w:val="32"/>
          <w:szCs w:val="32"/>
          <w:lang w:bidi="ar"/>
        </w:rPr>
        <w:t>要高度重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视此次整治行动，</w:t>
      </w:r>
      <w:r>
        <w:rPr>
          <w:rFonts w:hint="eastAsia" w:ascii="仿宋_GB2312" w:hAnsi="华文中宋" w:eastAsia="仿宋_GB2312"/>
          <w:sz w:val="32"/>
          <w:szCs w:val="32"/>
          <w:lang w:bidi="ar"/>
        </w:rPr>
        <w:t>对重点对象、重点场所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加大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排查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检查工作力度，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做到</w:t>
      </w:r>
      <w:r>
        <w:rPr>
          <w:rFonts w:hint="eastAsia" w:ascii="仿宋_GB2312" w:hAnsi="华文中宋" w:eastAsia="仿宋_GB2312"/>
          <w:sz w:val="32"/>
          <w:szCs w:val="32"/>
          <w:lang w:bidi="ar"/>
        </w:rPr>
        <w:t>重点品种</w:t>
      </w:r>
      <w:r>
        <w:rPr>
          <w:rFonts w:hint="eastAsia" w:ascii="仿宋_GB2312" w:hAnsi="华文中宋" w:eastAsia="仿宋_GB2312"/>
          <w:sz w:val="32"/>
          <w:szCs w:val="32"/>
          <w:lang w:eastAsia="zh-CN" w:bidi="ar"/>
        </w:rPr>
        <w:t>排查全覆盖</w:t>
      </w:r>
      <w:r>
        <w:rPr>
          <w:rFonts w:hint="eastAsia" w:ascii="仿宋_GB2312" w:hAnsi="华文中宋" w:eastAsia="仿宋_GB2312"/>
          <w:sz w:val="32"/>
          <w:szCs w:val="32"/>
          <w:lang w:bidi="ar"/>
        </w:rPr>
        <w:t>，强化</w:t>
      </w:r>
      <w:r>
        <w:rPr>
          <w:rFonts w:hint="eastAsia" w:ascii="仿宋_GB2312" w:hAnsi="华文中宋" w:eastAsia="仿宋_GB2312"/>
          <w:sz w:val="32"/>
          <w:szCs w:val="32"/>
          <w:lang w:eastAsia="zh-CN" w:bidi="ar"/>
        </w:rPr>
        <w:t>信息记录和信息共享，加强联动机制运用</w:t>
      </w:r>
      <w:r>
        <w:rPr>
          <w:rFonts w:hint="eastAsia" w:ascii="仿宋_GB2312" w:hAnsi="华文中宋" w:eastAsia="仿宋_GB2312"/>
          <w:sz w:val="32"/>
          <w:szCs w:val="32"/>
          <w:lang w:bidi="ar"/>
        </w:rPr>
        <w:t>。对在专项整治中发现的案件线索要</w:t>
      </w:r>
      <w:r>
        <w:rPr>
          <w:rFonts w:hint="eastAsia" w:ascii="仿宋_GB2312" w:hAnsi="华文中宋" w:eastAsia="仿宋_GB2312"/>
          <w:sz w:val="32"/>
          <w:szCs w:val="32"/>
          <w:lang w:eastAsia="zh-CN" w:bidi="ar"/>
        </w:rPr>
        <w:t>及时核查研判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联动执法部门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从严、从快、从重办理；对涉嫌犯罪的，及时移送司法机关，追究刑事责任。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 w:cs="楷体_GB2312"/>
          <w:b w:val="0"/>
          <w:bCs/>
          <w:sz w:val="32"/>
          <w:szCs w:val="32"/>
          <w:lang w:bidi="ar"/>
        </w:rPr>
        <w:t>（二）</w:t>
      </w:r>
      <w:r>
        <w:rPr>
          <w:rFonts w:hint="eastAsia" w:ascii="楷体_GB2312" w:eastAsia="楷体_GB2312" w:cs="楷体_GB2312"/>
          <w:b w:val="0"/>
          <w:bCs/>
          <w:sz w:val="32"/>
          <w:szCs w:val="32"/>
        </w:rPr>
        <w:t>宣传教育，共治安全。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ar"/>
        </w:rPr>
        <w:t>社区、各部门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ar"/>
        </w:rPr>
        <w:t>要将此次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行动与食品安全宣传活动相结合，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排查与入户宣传双线并行，做到排查一家、宣传一家，督促食品经营单位自觉落实食品安全主体责任；</w:t>
      </w:r>
      <w:r>
        <w:rPr>
          <w:rFonts w:hint="eastAsia" w:ascii="仿宋_GB2312" w:eastAsia="仿宋_GB2312"/>
          <w:sz w:val="32"/>
          <w:szCs w:val="32"/>
        </w:rPr>
        <w:t>充分利用</w:t>
      </w:r>
      <w:r>
        <w:rPr>
          <w:rFonts w:hint="eastAsia" w:ascii="仿宋_GB2312" w:eastAsia="仿宋_GB2312"/>
          <w:sz w:val="32"/>
          <w:szCs w:val="32"/>
          <w:lang w:eastAsia="zh-CN"/>
        </w:rPr>
        <w:t>线上、线下多种渠道</w:t>
      </w:r>
      <w:r>
        <w:rPr>
          <w:rFonts w:hint="eastAsia" w:ascii="仿宋_GB2312" w:eastAsia="仿宋_GB2312"/>
          <w:sz w:val="32"/>
          <w:szCs w:val="32"/>
        </w:rPr>
        <w:t>进行宣传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大力普及食品安全常识和相关法律知识，引导群众特别是学生科学消费，提高健康意识、食品安全意识，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营造良好舆论氛围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社区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要加强整治行动信息收集，及时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反馈排查线索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。2021年12月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日前，各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社区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、各部门报送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巡查记录和食品经营单位信息台账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至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街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食安办邮箱。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>附件：1.食品安全巡查工作记录</w:t>
      </w:r>
    </w:p>
    <w:p>
      <w:pPr>
        <w:spacing w:line="600" w:lineRule="exact"/>
        <w:ind w:left="1910" w:leftChars="300" w:hanging="1280" w:hangingChars="400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 xml:space="preserve">      2.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 w:bidi="ar"/>
        </w:rPr>
        <w:t>食品经营单位信息台账</w:t>
      </w:r>
    </w:p>
    <w:p>
      <w:r>
        <w:br w:type="page"/>
      </w:r>
    </w:p>
    <w:p>
      <w:pPr>
        <w:rPr>
          <w:rFonts w:hint="eastAsia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附件1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大港街食品安全巡查工作记录</w:t>
      </w:r>
    </w:p>
    <w:tbl>
      <w:tblPr>
        <w:tblStyle w:val="4"/>
        <w:tblW w:w="8626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117"/>
        <w:gridCol w:w="1309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巡查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adjustRightInd/>
              <w:snapToGrid/>
              <w:spacing w:after="0"/>
              <w:ind w:firstLine="600" w:firstLineChars="200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月 </w:t>
            </w:r>
            <w: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日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巡查商户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395" w:type="dxa"/>
            <w:noWrap w:val="0"/>
            <w:textDirection w:val="tbRlV"/>
            <w:vAlign w:val="center"/>
          </w:tcPr>
          <w:p>
            <w:pPr>
              <w:adjustRightInd/>
              <w:snapToGrid/>
              <w:spacing w:after="0"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巡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7231" w:type="dxa"/>
            <w:gridSpan w:val="3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3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巡查原由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" w:eastAsia="zh-CN"/>
              </w:rPr>
              <w:t>“儿童食品”专项整治行动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巡查内容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排查了店铺营业执照、食品经营许可证公示情况、从业人员健康证持有情况、食品保质期、是否存在“三无”产品、进货记录等。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隐患问题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处理措施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1395" w:type="dxa"/>
            <w:noWrap w:val="0"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巡查人员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r>
        <w:drawing>
          <wp:inline distT="0" distB="0" distL="114300" distR="114300">
            <wp:extent cx="8854440" cy="1547495"/>
            <wp:effectExtent l="0" t="0" r="3810" b="1460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8859520" cy="1264285"/>
            <wp:effectExtent l="0" t="0" r="17780" b="1206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楷体-GB2312">
    <w:altName w:val="楷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C3245"/>
    <w:multiLevelType w:val="singleLevel"/>
    <w:tmpl w:val="FEFC3245"/>
    <w:lvl w:ilvl="0" w:tentative="0">
      <w:start w:val="3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9732"/>
    <w:rsid w:val="5EA3E39B"/>
    <w:rsid w:val="D3FE1128"/>
    <w:rsid w:val="FFFF9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2021-10-28T23:23:00Z</dcterms:created>
  <dc:creator>kty</dc:creator>
  <cp:lastModifiedBy>kty</cp:lastModifiedBy>
  <dcterms:modified xsi:type="dcterms:W3CDTF">2021-10-29T09:35:12Z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