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spacing w:line="588" w:lineRule="exact"/>
        <w:rPr>
          <w:rFonts w:ascii="仿宋" w:hAnsi="仿宋" w:eastAsia="仿宋"/>
          <w:sz w:val="34"/>
          <w:szCs w:val="34"/>
        </w:rPr>
      </w:pPr>
      <w:bookmarkStart w:id="0" w:name="content"/>
      <w:bookmarkEnd w:id="0"/>
    </w:p>
    <w:p>
      <w:pPr>
        <w:suppressAutoHyphens w:val="0"/>
        <w:spacing w:line="6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天津港保税区管理委员会关于印发天津港</w:t>
      </w:r>
    </w:p>
    <w:p>
      <w:pPr>
        <w:suppressAutoHyphens w:val="0"/>
        <w:spacing w:line="6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保税区关于知识产权促进高质量</w:t>
      </w:r>
    </w:p>
    <w:p>
      <w:pPr>
        <w:suppressAutoHyphens w:val="0"/>
        <w:spacing w:line="6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发展的扶持措施的通知</w:t>
      </w:r>
    </w:p>
    <w:p>
      <w:pPr>
        <w:suppressAutoHyphens w:val="0"/>
        <w:spacing w:line="300" w:lineRule="exact"/>
        <w:ind w:firstLine="640" w:firstLineChars="200"/>
        <w:rPr>
          <w:rFonts w:hint="eastAsia" w:ascii="仿宋_GB2312" w:eastAsia="仿宋_GB2312"/>
          <w:color w:val="000000"/>
          <w:sz w:val="32"/>
          <w:szCs w:val="32"/>
        </w:rPr>
      </w:pPr>
    </w:p>
    <w:p>
      <w:pPr>
        <w:suppressAutoHyphens w:val="0"/>
        <w:spacing w:line="560" w:lineRule="exact"/>
        <w:rPr>
          <w:rFonts w:hint="eastAsia" w:ascii="仿宋_GB2312" w:eastAsia="仿宋_GB2312"/>
          <w:color w:val="000000"/>
          <w:sz w:val="32"/>
          <w:szCs w:val="32"/>
        </w:rPr>
      </w:pPr>
      <w:r>
        <w:rPr>
          <w:rFonts w:hint="eastAsia" w:ascii="仿宋_GB2312" w:eastAsia="仿宋_GB2312"/>
          <w:color w:val="000000"/>
          <w:sz w:val="32"/>
          <w:szCs w:val="32"/>
        </w:rPr>
        <w:t>各有关单位：</w:t>
      </w:r>
    </w:p>
    <w:p>
      <w:pPr>
        <w:suppressAutoHyphens w:val="0"/>
        <w:spacing w:line="56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为贯彻落实市委、市政府《加快推进新时代滨海新区高质量发展的意见》，现将《天津港保税区关于知识产权促进高质量发展的扶持措施》印发给你们，请遵照执行。</w:t>
      </w:r>
    </w:p>
    <w:p>
      <w:pPr>
        <w:suppressAutoHyphens w:val="0"/>
        <w:spacing w:line="300" w:lineRule="exact"/>
        <w:ind w:firstLine="640" w:firstLineChars="200"/>
        <w:rPr>
          <w:rFonts w:hint="eastAsia" w:ascii="仿宋_GB2312" w:eastAsia="仿宋_GB2312"/>
          <w:color w:val="000000"/>
          <w:sz w:val="32"/>
          <w:szCs w:val="32"/>
        </w:rPr>
      </w:pPr>
    </w:p>
    <w:p>
      <w:pPr>
        <w:suppressAutoHyphens w:val="0"/>
        <w:spacing w:line="300" w:lineRule="exact"/>
        <w:ind w:firstLine="640" w:firstLineChars="200"/>
        <w:rPr>
          <w:rFonts w:hint="eastAsia" w:ascii="仿宋_GB2312" w:eastAsia="仿宋_GB2312"/>
          <w:color w:val="000000"/>
          <w:sz w:val="32"/>
          <w:szCs w:val="32"/>
        </w:rPr>
      </w:pPr>
    </w:p>
    <w:p>
      <w:pPr>
        <w:suppressAutoHyphens w:val="0"/>
        <w:spacing w:line="300" w:lineRule="exact"/>
        <w:ind w:firstLine="640" w:firstLineChars="200"/>
        <w:rPr>
          <w:rFonts w:hint="eastAsia" w:ascii="仿宋_GB2312" w:eastAsia="仿宋_GB2312"/>
          <w:color w:val="000000"/>
          <w:sz w:val="32"/>
          <w:szCs w:val="32"/>
        </w:rPr>
      </w:pPr>
    </w:p>
    <w:p>
      <w:pPr>
        <w:suppressAutoHyphens w:val="0"/>
        <w:spacing w:line="300" w:lineRule="exact"/>
        <w:ind w:firstLine="640" w:firstLineChars="200"/>
        <w:rPr>
          <w:rFonts w:hint="eastAsia" w:ascii="仿宋_GB2312" w:eastAsia="仿宋_GB2312"/>
          <w:color w:val="000000"/>
          <w:sz w:val="32"/>
          <w:szCs w:val="32"/>
        </w:rPr>
      </w:pPr>
    </w:p>
    <w:p>
      <w:pPr>
        <w:tabs>
          <w:tab w:val="left" w:pos="7513"/>
        </w:tabs>
        <w:suppressAutoHyphens w:val="0"/>
        <w:spacing w:line="560" w:lineRule="exact"/>
        <w:ind w:firstLine="5120" w:firstLineChars="16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2021年4月19日</w:t>
      </w:r>
    </w:p>
    <w:p>
      <w:pPr>
        <w:suppressAutoHyphens w:val="0"/>
        <w:spacing w:line="640" w:lineRule="exact"/>
        <w:jc w:val="center"/>
        <w:rPr>
          <w:rFonts w:hint="eastAsia" w:ascii="方正小标宋简体" w:hAnsi="黑体" w:eastAsia="方正小标宋简体" w:cs="宋体"/>
          <w:color w:val="000000"/>
          <w:kern w:val="0"/>
          <w:sz w:val="44"/>
          <w:szCs w:val="44"/>
        </w:rPr>
      </w:pPr>
    </w:p>
    <w:p>
      <w:pPr>
        <w:suppressAutoHyphens w:val="0"/>
        <w:spacing w:line="640" w:lineRule="exact"/>
        <w:jc w:val="center"/>
        <w:rPr>
          <w:rFonts w:hint="eastAsia" w:ascii="方正小标宋简体" w:hAnsi="黑体" w:eastAsia="方正小标宋简体" w:cs="宋体"/>
          <w:color w:val="000000"/>
          <w:kern w:val="0"/>
          <w:sz w:val="44"/>
          <w:szCs w:val="44"/>
        </w:rPr>
      </w:pPr>
    </w:p>
    <w:p>
      <w:pPr>
        <w:suppressAutoHyphens w:val="0"/>
        <w:spacing w:line="640" w:lineRule="exact"/>
        <w:jc w:val="center"/>
        <w:rPr>
          <w:rFonts w:hint="eastAsia" w:ascii="方正小标宋简体" w:hAnsi="黑体" w:eastAsia="方正小标宋简体" w:cs="宋体"/>
          <w:color w:val="000000"/>
          <w:kern w:val="0"/>
          <w:sz w:val="44"/>
          <w:szCs w:val="44"/>
        </w:rPr>
      </w:pPr>
    </w:p>
    <w:p>
      <w:pPr>
        <w:suppressAutoHyphens w:val="0"/>
        <w:spacing w:line="640" w:lineRule="exact"/>
        <w:jc w:val="center"/>
        <w:rPr>
          <w:rFonts w:hint="eastAsia" w:ascii="方正小标宋简体" w:hAnsi="黑体" w:eastAsia="方正小标宋简体" w:cs="宋体"/>
          <w:color w:val="000000"/>
          <w:kern w:val="0"/>
          <w:sz w:val="44"/>
          <w:szCs w:val="44"/>
        </w:rPr>
      </w:pPr>
    </w:p>
    <w:p>
      <w:pPr>
        <w:suppressAutoHyphens w:val="0"/>
        <w:spacing w:line="640" w:lineRule="exact"/>
        <w:jc w:val="center"/>
        <w:rPr>
          <w:rFonts w:hint="eastAsia" w:ascii="方正小标宋简体" w:hAnsi="黑体" w:eastAsia="方正小标宋简体" w:cs="宋体"/>
          <w:color w:val="000000"/>
          <w:kern w:val="0"/>
          <w:sz w:val="44"/>
          <w:szCs w:val="44"/>
        </w:rPr>
      </w:pPr>
    </w:p>
    <w:p>
      <w:pPr>
        <w:suppressAutoHyphens w:val="0"/>
        <w:spacing w:line="640" w:lineRule="exact"/>
        <w:jc w:val="center"/>
        <w:rPr>
          <w:rFonts w:hint="eastAsia" w:ascii="方正小标宋简体" w:hAnsi="黑体" w:eastAsia="方正小标宋简体" w:cs="宋体"/>
          <w:color w:val="000000"/>
          <w:kern w:val="0"/>
          <w:sz w:val="44"/>
          <w:szCs w:val="44"/>
        </w:rPr>
      </w:pPr>
    </w:p>
    <w:p>
      <w:pPr>
        <w:suppressAutoHyphens w:val="0"/>
        <w:spacing w:line="640" w:lineRule="exact"/>
        <w:jc w:val="center"/>
        <w:rPr>
          <w:rFonts w:hint="eastAsia" w:ascii="方正小标宋简体" w:hAnsi="黑体" w:eastAsia="方正小标宋简体" w:cs="宋体"/>
          <w:color w:val="000000"/>
          <w:kern w:val="0"/>
          <w:sz w:val="44"/>
          <w:szCs w:val="44"/>
        </w:rPr>
      </w:pPr>
    </w:p>
    <w:p>
      <w:pPr>
        <w:suppressAutoHyphens w:val="0"/>
        <w:spacing w:line="640" w:lineRule="exact"/>
        <w:jc w:val="center"/>
        <w:rPr>
          <w:rFonts w:hint="eastAsia" w:ascii="方正小标宋简体" w:hAnsi="黑体" w:eastAsia="方正小标宋简体" w:cs="宋体"/>
          <w:color w:val="000000"/>
          <w:kern w:val="0"/>
          <w:sz w:val="44"/>
          <w:szCs w:val="44"/>
        </w:rPr>
      </w:pPr>
    </w:p>
    <w:p>
      <w:pPr>
        <w:suppressAutoHyphens w:val="0"/>
        <w:spacing w:line="640" w:lineRule="exact"/>
        <w:jc w:val="center"/>
        <w:rPr>
          <w:rFonts w:hint="eastAsia" w:ascii="方正小标宋简体" w:hAnsi="黑体" w:eastAsia="方正小标宋简体" w:cs="宋体"/>
          <w:color w:val="000000"/>
          <w:kern w:val="0"/>
          <w:sz w:val="44"/>
          <w:szCs w:val="44"/>
        </w:rPr>
      </w:pPr>
    </w:p>
    <w:p>
      <w:pPr>
        <w:suppressAutoHyphens w:val="0"/>
        <w:spacing w:line="640" w:lineRule="exact"/>
        <w:jc w:val="center"/>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天津港保税区关于知识产权促进高质量</w:t>
      </w:r>
    </w:p>
    <w:p>
      <w:pPr>
        <w:suppressAutoHyphens w:val="0"/>
        <w:spacing w:line="640" w:lineRule="exact"/>
        <w:jc w:val="center"/>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发展的扶持措施</w:t>
      </w:r>
    </w:p>
    <w:p>
      <w:pPr>
        <w:suppressAutoHyphens w:val="0"/>
        <w:spacing w:line="560" w:lineRule="exact"/>
        <w:ind w:firstLine="640" w:firstLineChars="200"/>
        <w:rPr>
          <w:rFonts w:hint="eastAsia" w:ascii="仿宋_GB2312" w:hAnsi="黑体" w:eastAsia="仿宋_GB2312" w:cs="宋体"/>
          <w:color w:val="000000"/>
          <w:kern w:val="0"/>
          <w:sz w:val="32"/>
          <w:szCs w:val="32"/>
        </w:rPr>
      </w:pPr>
    </w:p>
    <w:p>
      <w:pPr>
        <w:suppressAutoHyphens w:val="0"/>
        <w:spacing w:line="560" w:lineRule="exact"/>
        <w:jc w:val="center"/>
        <w:rPr>
          <w:rFonts w:hint="eastAsia" w:ascii="黑体" w:hAnsi="黑体" w:eastAsia="黑体" w:cs="宋体"/>
          <w:b/>
          <w:bCs/>
          <w:color w:val="333333"/>
          <w:kern w:val="0"/>
          <w:sz w:val="32"/>
          <w:szCs w:val="32"/>
        </w:rPr>
      </w:pPr>
      <w:r>
        <w:rPr>
          <w:rFonts w:hint="eastAsia" w:ascii="黑体" w:hAnsi="黑体" w:eastAsia="黑体" w:cs="宋体"/>
          <w:b/>
          <w:bCs/>
          <w:color w:val="333333"/>
          <w:kern w:val="0"/>
          <w:sz w:val="32"/>
          <w:szCs w:val="32"/>
        </w:rPr>
        <w:t>第一章 总 则</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第一条 为落实市委、市政府《加快推进新时代滨海新区高质量发展的意见》,发挥知识产权在促进天津港保税区高质量发展中的作用，大力培育拥有自主知识产权、具备国际竞争优势的知识产权领军企业，制定本措施。</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第二条 本措施适用于在天津港保税区注册和纳税的企业以及坐落在天津港保税区的科研院所（以下简称企业）等创新主体。</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第三条 对符合以下条件之一的予以优先资助：</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 xml:space="preserve">（一）所属技术领域属于本区重点发展的新一代信息技术产业、高端装备制造产业、新材料产业、生物产业、新能源产业、节能环保产业、数字创意产业等战略新兴产业领域的专利； </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黑体" w:eastAsia="仿宋_GB2312"/>
          <w:bCs/>
          <w:color w:val="333333"/>
          <w:sz w:val="32"/>
          <w:szCs w:val="32"/>
        </w:rPr>
      </w:pPr>
      <w:r>
        <w:rPr>
          <w:rFonts w:hint="eastAsia" w:ascii="仿宋_GB2312" w:hAnsi="微软雅黑" w:eastAsia="仿宋_GB2312"/>
          <w:color w:val="333333"/>
          <w:sz w:val="32"/>
          <w:szCs w:val="32"/>
        </w:rPr>
        <w:t>（二）国家知识产权示范和优势企业、天津市知识产权试点企业以及其他需要重点支持企业的专利和注册商标。</w:t>
      </w:r>
    </w:p>
    <w:p>
      <w:pPr>
        <w:suppressAutoHyphens w:val="0"/>
        <w:spacing w:line="560" w:lineRule="exact"/>
        <w:jc w:val="center"/>
        <w:rPr>
          <w:rFonts w:hint="eastAsia" w:ascii="黑体" w:hAnsi="黑体" w:eastAsia="黑体" w:cs="宋体"/>
          <w:b/>
          <w:bCs/>
          <w:color w:val="333333"/>
          <w:kern w:val="0"/>
          <w:sz w:val="32"/>
          <w:szCs w:val="32"/>
        </w:rPr>
      </w:pPr>
      <w:r>
        <w:rPr>
          <w:rFonts w:hint="eastAsia" w:ascii="黑体" w:hAnsi="黑体" w:eastAsia="黑体" w:cs="宋体"/>
          <w:b/>
          <w:bCs/>
          <w:color w:val="333333"/>
          <w:kern w:val="0"/>
          <w:sz w:val="32"/>
          <w:szCs w:val="32"/>
        </w:rPr>
        <w:t>第二章 激励知识产权创造</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FF0000"/>
          <w:sz w:val="32"/>
          <w:szCs w:val="32"/>
        </w:rPr>
      </w:pPr>
      <w:r>
        <w:rPr>
          <w:rFonts w:hint="eastAsia" w:ascii="仿宋_GB2312" w:hAnsi="微软雅黑" w:eastAsia="仿宋_GB2312"/>
          <w:color w:val="333333"/>
          <w:sz w:val="32"/>
          <w:szCs w:val="32"/>
        </w:rPr>
        <w:t>第四条 对当年获得国内发明专利授权的企业，按照不超过10000元/件的标准予以资助；对实现首件专利授权零突破的企业，给予首件发明专利授权两倍资助。企业每年获得本条所规定的资助额最高不超过30万元。</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第五条 对通过《专利合作条约》（PCT）或其他途径申请国外发明专利并获得美国、日本或者欧洲专利局发明专利授权的，每件给予不超过5万元补贴，获得其他国家或地区发明专利授权的，每件给予不超过3万元补贴。</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每项发明专利补贴不超过3个国家或者地区。企业每年获得本条所规定的补贴额最高不超过30万元。</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Arial" w:eastAsia="仿宋_GB2312" w:cs="Arial"/>
          <w:color w:val="FF0000"/>
          <w:sz w:val="32"/>
          <w:szCs w:val="32"/>
        </w:rPr>
      </w:pPr>
      <w:r>
        <w:rPr>
          <w:rFonts w:hint="eastAsia" w:ascii="仿宋_GB2312" w:hAnsi="微软雅黑" w:eastAsia="仿宋_GB2312"/>
          <w:color w:val="333333"/>
          <w:sz w:val="32"/>
          <w:szCs w:val="32"/>
        </w:rPr>
        <w:t>第六条 对获得中国专利金奖、中国专利银奖、中国专利优秀奖的企业一次性给予50万元、20万元、10万元奖励；对获得中国外观设计金奖、中国外观设计银奖、中国外观设计优秀奖的企业一次性给予20万元、10万元、5万元奖励；对获得天津市专利金奖、天津市专利优秀奖的企业一次性给予10万元、2万元奖励。</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第七条 通过马德里体系在欧洲或者非洲知识产权组织获得注册的，每个地区每件资助不超过8000元；在其他国家或者地区获得注册的，每个国家（地区）每件资助不超过2000元（比荷卢按一个国家计算）。</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通过马德里体系之外在单一国家获得注册的，每个国家（地区）每件资助不超过5000元（比荷卢按一个国家计算）；在欧洲或者非洲知识产权组织获得注册的，每个地区每件资助不超过1万元。</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企业每年获得本条所规定的资助额最高不超过20万元。</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Arial" w:eastAsia="仿宋_GB2312" w:cs="Arial"/>
          <w:color w:val="FF0000"/>
          <w:sz w:val="32"/>
          <w:szCs w:val="32"/>
        </w:rPr>
      </w:pPr>
      <w:r>
        <w:rPr>
          <w:rFonts w:hint="eastAsia" w:ascii="仿宋_GB2312" w:hAnsi="微软雅黑" w:eastAsia="仿宋_GB2312"/>
          <w:color w:val="333333"/>
          <w:sz w:val="32"/>
          <w:szCs w:val="32"/>
        </w:rPr>
        <w:t>第八条 对企业首次登记的第一件计算机软件著作权每件资助不超过1000元，从第二件开始每件资助不超过500元。对进行集成电路布图设计登记的企业每件资助不超过2000元。</w:t>
      </w:r>
    </w:p>
    <w:p>
      <w:pPr>
        <w:suppressAutoHyphens w:val="0"/>
        <w:spacing w:line="560" w:lineRule="exact"/>
        <w:jc w:val="center"/>
        <w:rPr>
          <w:rFonts w:hint="eastAsia" w:ascii="黑体" w:hAnsi="黑体" w:eastAsia="黑体" w:cs="宋体"/>
          <w:b/>
          <w:bCs/>
          <w:color w:val="333333"/>
          <w:kern w:val="0"/>
          <w:sz w:val="32"/>
          <w:szCs w:val="32"/>
        </w:rPr>
      </w:pPr>
      <w:r>
        <w:rPr>
          <w:rFonts w:hint="eastAsia" w:ascii="黑体" w:hAnsi="黑体" w:eastAsia="黑体" w:cs="宋体"/>
          <w:b/>
          <w:bCs/>
          <w:color w:val="333333"/>
          <w:kern w:val="0"/>
          <w:sz w:val="32"/>
          <w:szCs w:val="32"/>
        </w:rPr>
        <w:t>第三章 促进知识产权运用</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bCs/>
          <w:color w:val="333333"/>
          <w:kern w:val="0"/>
          <w:sz w:val="32"/>
          <w:szCs w:val="32"/>
        </w:rPr>
        <w:t xml:space="preserve">第九条 </w:t>
      </w:r>
      <w:r>
        <w:rPr>
          <w:rFonts w:hint="eastAsia" w:ascii="仿宋_GB2312" w:hAnsi="微软雅黑" w:eastAsia="仿宋_GB2312" w:cs="宋体"/>
          <w:color w:val="333333"/>
          <w:kern w:val="0"/>
          <w:sz w:val="32"/>
          <w:szCs w:val="32"/>
        </w:rPr>
        <w:t>对以专利、软件著作权、集成电路布图设计、植物新品种以及商标等知识产权质押方式从金融机构获得贷款的企业，给予不超过知识产权质押贷款实际发放额5%的奖励，每家企业奖励不超过50万元。</w:t>
      </w:r>
    </w:p>
    <w:p>
      <w:pPr>
        <w:suppressAutoHyphens w:val="0"/>
        <w:spacing w:line="560" w:lineRule="exact"/>
        <w:ind w:firstLine="640" w:firstLineChars="200"/>
        <w:rPr>
          <w:rFonts w:hint="eastAsia" w:ascii="仿宋_GB2312" w:hAnsi="微软雅黑" w:eastAsia="仿宋_GB2312" w:cs="宋体"/>
          <w:color w:val="FF0000"/>
          <w:kern w:val="0"/>
          <w:sz w:val="32"/>
          <w:szCs w:val="32"/>
        </w:rPr>
      </w:pPr>
      <w:r>
        <w:rPr>
          <w:rFonts w:hint="eastAsia" w:ascii="仿宋_GB2312" w:hAnsi="微软雅黑" w:eastAsia="仿宋_GB2312" w:cs="宋体"/>
          <w:color w:val="333333"/>
          <w:kern w:val="0"/>
          <w:sz w:val="32"/>
          <w:szCs w:val="32"/>
        </w:rPr>
        <w:t>第十条 给予知识产权保护奖励。区内企业在知识产权受到不法侵害或不实侵权指控时，积极通过司法行政渠道维权成功，并入选国家或我市知识产权典型案例，根据有关生效法律文书，每个案件给予不超过5万元的知识产权保护奖励。每家企业每年最高奖励10万元。</w:t>
      </w:r>
    </w:p>
    <w:p>
      <w:pPr>
        <w:pStyle w:val="6"/>
        <w:widowControl w:val="0"/>
        <w:suppressAutoHyphens w:val="0"/>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仿宋_GB2312" w:hAnsi="微软雅黑" w:eastAsia="仿宋_GB2312"/>
          <w:color w:val="333333"/>
          <w:sz w:val="32"/>
          <w:szCs w:val="32"/>
        </w:rPr>
        <w:t>第十一条 对知识产权使用费年度出口额超过2亿元的，每家企业资助不超过10万元。</w:t>
      </w:r>
    </w:p>
    <w:p>
      <w:pPr>
        <w:suppressAutoHyphens w:val="0"/>
        <w:spacing w:line="560" w:lineRule="exact"/>
        <w:jc w:val="center"/>
        <w:rPr>
          <w:rFonts w:hint="eastAsia" w:ascii="黑体" w:hAnsi="黑体" w:eastAsia="黑体" w:cs="宋体"/>
          <w:b/>
          <w:bCs/>
          <w:color w:val="333333"/>
          <w:kern w:val="0"/>
          <w:sz w:val="32"/>
          <w:szCs w:val="32"/>
        </w:rPr>
      </w:pPr>
      <w:r>
        <w:rPr>
          <w:rFonts w:hint="eastAsia" w:ascii="黑体" w:hAnsi="黑体" w:eastAsia="黑体" w:cs="宋体"/>
          <w:b/>
          <w:bCs/>
          <w:color w:val="333333"/>
          <w:kern w:val="0"/>
          <w:sz w:val="32"/>
          <w:szCs w:val="32"/>
        </w:rPr>
        <w:t>第四章 加强知识产权管理</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bCs/>
          <w:color w:val="333333"/>
          <w:kern w:val="0"/>
          <w:sz w:val="32"/>
          <w:szCs w:val="32"/>
        </w:rPr>
        <w:t xml:space="preserve">第十二条 </w:t>
      </w:r>
      <w:r>
        <w:rPr>
          <w:rFonts w:hint="eastAsia" w:ascii="仿宋_GB2312" w:hAnsi="微软雅黑" w:eastAsia="仿宋_GB2312" w:cs="宋体"/>
          <w:color w:val="333333"/>
          <w:kern w:val="0"/>
          <w:sz w:val="32"/>
          <w:szCs w:val="32"/>
        </w:rPr>
        <w:t>开展区级专利试点，推进企业围绕核心产品（技术）实施专利布局，培育专利密集产品，提升企业体系建设和管理能力，对专利创造绩效突出的，每年给予不超过20万元的资助。</w:t>
      </w:r>
    </w:p>
    <w:p>
      <w:pPr>
        <w:suppressAutoHyphens w:val="0"/>
        <w:spacing w:line="560" w:lineRule="exact"/>
        <w:ind w:firstLine="640" w:firstLineChars="200"/>
        <w:rPr>
          <w:rFonts w:hint="eastAsia" w:ascii="仿宋_GB2312" w:hAnsi="微软雅黑" w:eastAsia="仿宋_GB2312" w:cs="宋体"/>
          <w:color w:val="FF0000"/>
          <w:kern w:val="0"/>
          <w:sz w:val="32"/>
          <w:szCs w:val="32"/>
        </w:rPr>
      </w:pPr>
      <w:r>
        <w:rPr>
          <w:rFonts w:hint="eastAsia" w:ascii="仿宋_GB2312" w:hAnsi="微软雅黑" w:eastAsia="仿宋_GB2312" w:cs="宋体"/>
          <w:color w:val="333333"/>
          <w:kern w:val="0"/>
          <w:sz w:val="32"/>
          <w:szCs w:val="32"/>
        </w:rPr>
        <w:t>第十三条 鼓励企业开展专利导航项目，专利运营、实施转化和专利金融，开展专利评估及交易，制定专利标准，加强专利保护和维权等工作。对经过专家评审，符合条件的企业给予不超过 20 万元的资助。</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第十四条 对当年确定为国家知识产权示范企业、运营试点、示范平台的，给予最高不超过20万元奖励；对获得市级知识产权运营试点平台的，一次性奖励10万元。</w:t>
      </w:r>
    </w:p>
    <w:p>
      <w:pPr>
        <w:suppressAutoHyphens w:val="0"/>
        <w:spacing w:line="560" w:lineRule="exact"/>
        <w:jc w:val="center"/>
        <w:rPr>
          <w:rFonts w:hint="eastAsia" w:ascii="黑体" w:hAnsi="黑体" w:eastAsia="黑体" w:cs="宋体"/>
          <w:b/>
          <w:bCs/>
          <w:color w:val="333333"/>
          <w:kern w:val="0"/>
          <w:sz w:val="32"/>
          <w:szCs w:val="32"/>
        </w:rPr>
      </w:pPr>
      <w:r>
        <w:rPr>
          <w:rFonts w:hint="eastAsia" w:ascii="黑体" w:hAnsi="黑体" w:eastAsia="黑体" w:cs="宋体"/>
          <w:b/>
          <w:bCs/>
          <w:color w:val="333333"/>
          <w:kern w:val="0"/>
          <w:sz w:val="32"/>
          <w:szCs w:val="32"/>
        </w:rPr>
        <w:t>第五章 发展知识产权服务</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第十五条 对国内外知名知识产权服务机构在天津港保税区新设独立法人企业的，给予三年房租或物业管理费支持，最高补贴30万元/年；将总部迁入天津港保税区，或设立第二总部的，经认定最高给予不超过100万元资金支持。对新落户的互联网+知识产权代理服务机构，经认定，给予最高不超过10万元奖励。对国际组织、国外机构设立分支机构或办事处的，给予最高不超过10万元补贴。鼓励知识产权代理服务机构等各类第三方机构积极引进具有自主知识产权企业，按照吸引企业年纳税额形成地方可支配财力扣除对项目支持后的剩余部分，实体项目按30%、注册类项目按20%给予知识产权代理服务机构奖励。对成功引进近三年《财富》世界500强、中国企业500强、中国民营企业500强、台湾百大企业、中央企业、境内上市公司或行业龙头等具有核心知识产权企业或由其控股企业投资属于区域重点发展产业的项目，除按上述奖励标准给予奖励外，再一次性给予20万元人民币叠加奖励。</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333333"/>
          <w:sz w:val="32"/>
          <w:szCs w:val="32"/>
        </w:rPr>
      </w:pPr>
      <w:r>
        <w:rPr>
          <w:rFonts w:hint="eastAsia" w:ascii="仿宋_GB2312" w:hAnsi="微软雅黑" w:eastAsia="仿宋_GB2312"/>
          <w:bCs/>
          <w:color w:val="333333"/>
          <w:sz w:val="32"/>
          <w:szCs w:val="32"/>
        </w:rPr>
        <w:t xml:space="preserve">第十六条 </w:t>
      </w:r>
      <w:r>
        <w:rPr>
          <w:rFonts w:hint="eastAsia" w:ascii="仿宋_GB2312" w:hAnsi="微软雅黑" w:eastAsia="仿宋_GB2312"/>
          <w:color w:val="333333"/>
          <w:sz w:val="32"/>
          <w:szCs w:val="32"/>
        </w:rPr>
        <w:t>鼓励知识产权服务机构为企业提供知识产权代理服务。对年代理保税区企业专利超过200件的代理机构给予奖励，对其为保税区企业或机构代理的国内发明专利获得授权的给予每件2000元奖励，通过专利合作条约（PCT）为企事业单位提供国外发明专利申请服务并进入国家阶段，每件发明专利给予3000元奖励。每年每家服务机构支持金额累计不超过30万元。</w:t>
      </w:r>
    </w:p>
    <w:p>
      <w:pPr>
        <w:pStyle w:val="6"/>
        <w:widowControl w:val="0"/>
        <w:shd w:val="clear" w:color="auto" w:fill="FFFFFF"/>
        <w:suppressAutoHyphens w:val="0"/>
        <w:spacing w:before="0" w:beforeAutospacing="0" w:after="0" w:afterAutospacing="0" w:line="560" w:lineRule="exact"/>
        <w:ind w:firstLine="640" w:firstLineChars="200"/>
        <w:jc w:val="both"/>
        <w:rPr>
          <w:rFonts w:hint="eastAsia" w:ascii="仿宋_GB2312" w:hAnsi="微软雅黑" w:eastAsia="仿宋_GB2312"/>
          <w:color w:val="FF0000"/>
          <w:sz w:val="32"/>
          <w:szCs w:val="32"/>
        </w:rPr>
      </w:pPr>
      <w:r>
        <w:rPr>
          <w:rFonts w:hint="eastAsia" w:ascii="仿宋_GB2312" w:hAnsi="微软雅黑" w:eastAsia="仿宋_GB2312"/>
          <w:color w:val="333333"/>
          <w:sz w:val="32"/>
          <w:szCs w:val="32"/>
        </w:rPr>
        <w:t>对在天津港保税区内为企业开办知识产权培训班的服务机构，按培训人数100元/人/天补贴，最高给予10000元/期补贴。企业培养和引进专利代理师，给予企业10000元/人奖励。）</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bCs/>
          <w:color w:val="333333"/>
          <w:kern w:val="0"/>
          <w:sz w:val="32"/>
          <w:szCs w:val="32"/>
        </w:rPr>
        <w:t xml:space="preserve">第十七条 </w:t>
      </w:r>
      <w:r>
        <w:rPr>
          <w:rFonts w:hint="eastAsia" w:ascii="仿宋_GB2312" w:hAnsi="微软雅黑" w:eastAsia="仿宋_GB2312" w:cs="宋体"/>
          <w:color w:val="333333"/>
          <w:kern w:val="0"/>
          <w:sz w:val="32"/>
          <w:szCs w:val="32"/>
        </w:rPr>
        <w:t>鼓励区内各类众创空间、孵化器等机构为初创企业开展知识产权服务。经评估，对当年确定为区级知识产权双创服务平台的单位给予最高不超过30万元扶持。</w:t>
      </w:r>
    </w:p>
    <w:p>
      <w:pPr>
        <w:suppressAutoHyphens w:val="0"/>
        <w:spacing w:line="560" w:lineRule="exact"/>
        <w:jc w:val="center"/>
        <w:rPr>
          <w:rFonts w:hint="eastAsia" w:ascii="黑体" w:hAnsi="黑体" w:eastAsia="黑体" w:cs="宋体"/>
          <w:b/>
          <w:color w:val="333333"/>
          <w:kern w:val="0"/>
          <w:sz w:val="32"/>
          <w:szCs w:val="32"/>
        </w:rPr>
      </w:pPr>
      <w:r>
        <w:rPr>
          <w:rFonts w:hint="eastAsia" w:ascii="黑体" w:hAnsi="黑体" w:eastAsia="黑体" w:cs="宋体"/>
          <w:b/>
          <w:color w:val="333333"/>
          <w:kern w:val="0"/>
          <w:sz w:val="32"/>
          <w:szCs w:val="32"/>
        </w:rPr>
        <w:t>第六章 建设知识产权诚信体系</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第十八条 有下列情形之一的不得申请专项资金：</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（一）失效的专利、商标；</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（二）存在权属纠纷的专利、商标；</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（三）近两年内发生非正常专利申请等行为或者知识产权恶意侵权行为；</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（四）近一年内发生安全生产死亡事故、重大质量事故或严重环境违法行为；</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（五）被列入失信联合惩戒名单的企业；</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（六）其他依法律法规规定不能予以资助的情形。</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第十九条 建立健全知识产权诚信管理机制，对于知识产权领域严重失信主体，采取联合惩戒措施，取消进入各知识产权保护中心和快速维权中心的专利快速授权确权、快速维权通道资格；取消申报各级知识产权示范和优势企业资格；取消申报各级专利运营试点企业资格；取消享受各级知识产权政策优惠、资助、奖励的资格，已获政策资金支持的，予以追回。</w:t>
      </w:r>
    </w:p>
    <w:p>
      <w:pPr>
        <w:suppressAutoHyphens w:val="0"/>
        <w:spacing w:line="560" w:lineRule="exact"/>
        <w:jc w:val="center"/>
        <w:rPr>
          <w:rFonts w:hint="eastAsia" w:ascii="黑体" w:hAnsi="黑体" w:eastAsia="黑体" w:cs="宋体"/>
          <w:b/>
          <w:color w:val="333333"/>
          <w:kern w:val="0"/>
          <w:sz w:val="32"/>
          <w:szCs w:val="32"/>
        </w:rPr>
      </w:pPr>
      <w:r>
        <w:rPr>
          <w:rFonts w:hint="eastAsia" w:ascii="黑体" w:hAnsi="黑体" w:eastAsia="黑体" w:cs="宋体"/>
          <w:b/>
          <w:color w:val="333333"/>
          <w:kern w:val="0"/>
          <w:sz w:val="32"/>
          <w:szCs w:val="32"/>
        </w:rPr>
        <w:t>第七章 附 则</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第二十条 本措施支持条款与天津港保税区其他政策重叠部分，不重复享受。</w:t>
      </w:r>
      <w:bookmarkStart w:id="1" w:name="_GoBack"/>
      <w:bookmarkEnd w:id="1"/>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第二十一条 本措施由天津港保税区管理委员会负责解释。办事程序参见相关工作通知。</w:t>
      </w:r>
    </w:p>
    <w:p>
      <w:pPr>
        <w:suppressAutoHyphens w:val="0"/>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第二十二条 本措施自发布之日起实施，有效期三年。</w:t>
      </w:r>
    </w:p>
    <w:p>
      <w:pPr>
        <w:suppressAutoHyphens w:val="0"/>
        <w:spacing w:line="560" w:lineRule="exact"/>
        <w:ind w:firstLine="640" w:firstLineChars="200"/>
        <w:rPr>
          <w:rFonts w:hint="eastAsia" w:ascii="仿宋_GB2312" w:eastAsia="仿宋_GB2312"/>
          <w:sz w:val="32"/>
          <w:szCs w:val="32"/>
        </w:rPr>
      </w:pPr>
    </w:p>
    <w:p>
      <w:pPr>
        <w:suppressAutoHyphens w:val="0"/>
      </w:pPr>
    </w:p>
    <w:p>
      <w:pPr>
        <w:suppressAutoHyphens w:val="0"/>
        <w:rPr>
          <w:rFonts w:ascii="仿宋_GB2312" w:eastAsia="仿宋_GB2312"/>
          <w:sz w:val="34"/>
          <w:szCs w:val="34"/>
        </w:rPr>
      </w:pPr>
    </w:p>
    <w:p>
      <w:pPr>
        <w:suppressAutoHyphens w:val="0"/>
        <w:spacing w:line="560" w:lineRule="exact"/>
        <w:ind w:firstLine="640" w:firstLineChars="200"/>
        <w:rPr>
          <w:rFonts w:ascii="仿宋_GB2312" w:eastAsia="仿宋_GB2312"/>
          <w:color w:val="000000"/>
          <w:sz w:val="32"/>
          <w:szCs w:val="32"/>
        </w:rPr>
      </w:pPr>
    </w:p>
    <w:p>
      <w:pPr>
        <w:suppressAutoHyphens w:val="0"/>
        <w:spacing w:line="560" w:lineRule="exact"/>
        <w:ind w:firstLine="640" w:firstLineChars="200"/>
        <w:rPr>
          <w:rFonts w:ascii="仿宋_GB2312" w:eastAsia="仿宋_GB2312"/>
          <w:color w:val="000000"/>
          <w:sz w:val="32"/>
          <w:szCs w:val="32"/>
        </w:rPr>
      </w:pPr>
    </w:p>
    <w:p>
      <w:pPr>
        <w:suppressAutoHyphens w:val="0"/>
        <w:spacing w:line="560" w:lineRule="exact"/>
        <w:ind w:firstLine="640" w:firstLineChars="200"/>
        <w:rPr>
          <w:rFonts w:ascii="仿宋_GB2312" w:eastAsia="仿宋_GB2312"/>
          <w:color w:val="000000"/>
          <w:sz w:val="32"/>
          <w:szCs w:val="32"/>
        </w:rPr>
      </w:pPr>
    </w:p>
    <w:p>
      <w:pPr>
        <w:suppressAutoHyphens w:val="0"/>
        <w:spacing w:line="560" w:lineRule="exact"/>
        <w:ind w:firstLine="640" w:firstLineChars="200"/>
        <w:rPr>
          <w:rFonts w:hint="eastAsia" w:ascii="仿宋_GB2312" w:eastAsia="仿宋_GB2312"/>
          <w:color w:val="000000"/>
          <w:sz w:val="32"/>
          <w:szCs w:val="32"/>
        </w:rPr>
      </w:pPr>
    </w:p>
    <w:p>
      <w:pPr>
        <w:suppressAutoHyphens w:val="0"/>
        <w:spacing w:line="560" w:lineRule="exact"/>
        <w:ind w:firstLine="640" w:firstLineChars="200"/>
        <w:rPr>
          <w:rFonts w:hint="eastAsia" w:ascii="仿宋_GB2312" w:eastAsia="仿宋_GB2312"/>
          <w:color w:val="000000"/>
          <w:sz w:val="32"/>
          <w:szCs w:val="32"/>
        </w:rPr>
      </w:pPr>
    </w:p>
    <w:p>
      <w:pPr>
        <w:suppressAutoHyphens w:val="0"/>
        <w:spacing w:line="560" w:lineRule="exact"/>
        <w:ind w:firstLine="640" w:firstLineChars="200"/>
        <w:rPr>
          <w:rFonts w:hint="eastAsia" w:ascii="仿宋_GB2312" w:eastAsia="仿宋_GB2312"/>
          <w:color w:val="000000"/>
          <w:sz w:val="32"/>
          <w:szCs w:val="32"/>
        </w:rPr>
      </w:pPr>
    </w:p>
    <w:p>
      <w:pPr>
        <w:suppressAutoHyphens w:val="0"/>
        <w:spacing w:line="560" w:lineRule="exact"/>
        <w:ind w:firstLine="640" w:firstLineChars="200"/>
        <w:rPr>
          <w:rFonts w:ascii="仿宋_GB2312" w:eastAsia="仿宋_GB2312"/>
          <w:color w:val="000000"/>
          <w:sz w:val="32"/>
          <w:szCs w:val="32"/>
        </w:rPr>
      </w:pPr>
    </w:p>
    <w:p>
      <w:pPr>
        <w:suppressAutoHyphens w:val="0"/>
        <w:spacing w:line="560" w:lineRule="exact"/>
        <w:ind w:firstLine="640" w:firstLineChars="200"/>
        <w:rPr>
          <w:rFonts w:hint="eastAsia" w:ascii="仿宋_GB2312" w:eastAsia="仿宋_GB2312"/>
          <w:color w:val="000000"/>
          <w:sz w:val="32"/>
          <w:szCs w:val="32"/>
        </w:rPr>
      </w:pPr>
    </w:p>
    <w:p>
      <w:pPr>
        <w:suppressAutoHyphens w:val="0"/>
        <w:spacing w:line="560" w:lineRule="exact"/>
        <w:ind w:firstLine="640" w:firstLineChars="200"/>
        <w:rPr>
          <w:rFonts w:hint="eastAsia" w:ascii="仿宋_GB2312" w:eastAsia="仿宋_GB2312"/>
          <w:color w:val="000000"/>
          <w:sz w:val="32"/>
          <w:szCs w:val="32"/>
        </w:rPr>
      </w:pPr>
    </w:p>
    <w:p>
      <w:pPr>
        <w:tabs>
          <w:tab w:val="left" w:pos="142"/>
          <w:tab w:val="left" w:pos="284"/>
          <w:tab w:val="left" w:pos="426"/>
          <w:tab w:val="left" w:pos="4858"/>
          <w:tab w:val="left" w:pos="8080"/>
          <w:tab w:val="left" w:pos="8505"/>
        </w:tabs>
        <w:suppressAutoHyphens w:val="0"/>
        <w:spacing w:line="570" w:lineRule="exact"/>
        <w:ind w:right="-2" w:rightChars="-1"/>
        <w:rPr>
          <w:rFonts w:ascii="仿宋_GB2312" w:hAnsi="仿宋" w:eastAsia="仿宋_GB2312" w:cs="仿宋"/>
          <w:color w:val="000000"/>
          <w:sz w:val="32"/>
          <w:szCs w:val="32"/>
        </w:rPr>
      </w:pPr>
    </w:p>
    <w:sectPr>
      <w:headerReference r:id="rId3" w:type="default"/>
      <w:footerReference r:id="rId5" w:type="default"/>
      <w:headerReference r:id="rId4" w:type="even"/>
      <w:footerReference r:id="rId6" w:type="even"/>
      <w:pgSz w:w="11906" w:h="16838"/>
      <w:pgMar w:top="2098" w:right="1474" w:bottom="1928" w:left="1588" w:header="851" w:footer="992" w:gutter="0"/>
      <w:pgNumType w:start="1"/>
      <w:cols w:space="720" w:num="1"/>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25</w:t>
    </w:r>
    <w:r>
      <w:rPr>
        <w:rFonts w:ascii="宋体" w:hAnsi="宋体"/>
        <w:sz w:val="28"/>
        <w:szCs w:val="28"/>
      </w:rPr>
      <w:fldChar w:fldCharType="end"/>
    </w:r>
    <w:r>
      <w:rPr>
        <w:rFonts w:hint="eastAsia" w:ascii="宋体" w:hAnsi="宋体"/>
        <w:sz w:val="28"/>
        <w:szCs w:val="28"/>
        <w:lang w:eastAsia="zh-CN"/>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lang w:eastAsia="zh-CN"/>
      </w:rPr>
      <w:t xml:space="preserve"> —</w:t>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HorizontalSpacing w:val="105"/>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A25A54"/>
    <w:rsid w:val="000047C5"/>
    <w:rsid w:val="00007702"/>
    <w:rsid w:val="00022BBD"/>
    <w:rsid w:val="000232A7"/>
    <w:rsid w:val="0002724D"/>
    <w:rsid w:val="000327EB"/>
    <w:rsid w:val="000539DE"/>
    <w:rsid w:val="00073537"/>
    <w:rsid w:val="00077F2C"/>
    <w:rsid w:val="000944A4"/>
    <w:rsid w:val="000A5DF4"/>
    <w:rsid w:val="000A6697"/>
    <w:rsid w:val="000B4AC9"/>
    <w:rsid w:val="000D04E0"/>
    <w:rsid w:val="000F50B2"/>
    <w:rsid w:val="00100F47"/>
    <w:rsid w:val="0010239D"/>
    <w:rsid w:val="00114E46"/>
    <w:rsid w:val="0012674C"/>
    <w:rsid w:val="001301B1"/>
    <w:rsid w:val="00140F29"/>
    <w:rsid w:val="0014115D"/>
    <w:rsid w:val="0014722F"/>
    <w:rsid w:val="00164EF8"/>
    <w:rsid w:val="0017333B"/>
    <w:rsid w:val="001B1772"/>
    <w:rsid w:val="001B648B"/>
    <w:rsid w:val="001C38FC"/>
    <w:rsid w:val="001F5A7B"/>
    <w:rsid w:val="00213C32"/>
    <w:rsid w:val="002218C5"/>
    <w:rsid w:val="00226407"/>
    <w:rsid w:val="002321EF"/>
    <w:rsid w:val="00236D67"/>
    <w:rsid w:val="00240372"/>
    <w:rsid w:val="00246334"/>
    <w:rsid w:val="002655AF"/>
    <w:rsid w:val="00265BF3"/>
    <w:rsid w:val="002736B6"/>
    <w:rsid w:val="00275155"/>
    <w:rsid w:val="0029383D"/>
    <w:rsid w:val="002C4F10"/>
    <w:rsid w:val="002C5877"/>
    <w:rsid w:val="002C6057"/>
    <w:rsid w:val="002F448C"/>
    <w:rsid w:val="00310307"/>
    <w:rsid w:val="00314F8C"/>
    <w:rsid w:val="00333C19"/>
    <w:rsid w:val="00337C94"/>
    <w:rsid w:val="00356F91"/>
    <w:rsid w:val="00367E9A"/>
    <w:rsid w:val="0037023C"/>
    <w:rsid w:val="00395B86"/>
    <w:rsid w:val="00397EF0"/>
    <w:rsid w:val="003A1F1A"/>
    <w:rsid w:val="003A51D4"/>
    <w:rsid w:val="003B4316"/>
    <w:rsid w:val="003D28FA"/>
    <w:rsid w:val="003E3376"/>
    <w:rsid w:val="003E6136"/>
    <w:rsid w:val="00404AC9"/>
    <w:rsid w:val="00414445"/>
    <w:rsid w:val="00426FD8"/>
    <w:rsid w:val="00431FBB"/>
    <w:rsid w:val="00455BE6"/>
    <w:rsid w:val="00462BC2"/>
    <w:rsid w:val="00483B63"/>
    <w:rsid w:val="00496C10"/>
    <w:rsid w:val="004C2F91"/>
    <w:rsid w:val="004C5D03"/>
    <w:rsid w:val="004D455E"/>
    <w:rsid w:val="004E6ED7"/>
    <w:rsid w:val="00503C1D"/>
    <w:rsid w:val="005058DC"/>
    <w:rsid w:val="00554E10"/>
    <w:rsid w:val="00556320"/>
    <w:rsid w:val="00571541"/>
    <w:rsid w:val="005A1CF4"/>
    <w:rsid w:val="005B5C5F"/>
    <w:rsid w:val="005B68A2"/>
    <w:rsid w:val="005C3F6F"/>
    <w:rsid w:val="005D17C7"/>
    <w:rsid w:val="005D244A"/>
    <w:rsid w:val="005E171D"/>
    <w:rsid w:val="005E470C"/>
    <w:rsid w:val="00603C08"/>
    <w:rsid w:val="006129A4"/>
    <w:rsid w:val="00624694"/>
    <w:rsid w:val="00663EC2"/>
    <w:rsid w:val="006861F7"/>
    <w:rsid w:val="006B07B4"/>
    <w:rsid w:val="006B776D"/>
    <w:rsid w:val="006D0227"/>
    <w:rsid w:val="006E71C6"/>
    <w:rsid w:val="006F4130"/>
    <w:rsid w:val="00706AA9"/>
    <w:rsid w:val="00732937"/>
    <w:rsid w:val="00740217"/>
    <w:rsid w:val="00751A6C"/>
    <w:rsid w:val="00765EC6"/>
    <w:rsid w:val="007E1545"/>
    <w:rsid w:val="007F0CFB"/>
    <w:rsid w:val="007F1969"/>
    <w:rsid w:val="00805B34"/>
    <w:rsid w:val="00822D96"/>
    <w:rsid w:val="008372D5"/>
    <w:rsid w:val="008633CD"/>
    <w:rsid w:val="008734D3"/>
    <w:rsid w:val="00886EEE"/>
    <w:rsid w:val="008978B9"/>
    <w:rsid w:val="008A3088"/>
    <w:rsid w:val="008B42BA"/>
    <w:rsid w:val="008B624F"/>
    <w:rsid w:val="008C0266"/>
    <w:rsid w:val="008C30BF"/>
    <w:rsid w:val="008E3787"/>
    <w:rsid w:val="00902B4A"/>
    <w:rsid w:val="009117F7"/>
    <w:rsid w:val="00917EF8"/>
    <w:rsid w:val="0092520A"/>
    <w:rsid w:val="00977F93"/>
    <w:rsid w:val="009A1A75"/>
    <w:rsid w:val="009A6FD9"/>
    <w:rsid w:val="009C51E0"/>
    <w:rsid w:val="009E1C84"/>
    <w:rsid w:val="00A00365"/>
    <w:rsid w:val="00A20809"/>
    <w:rsid w:val="00A25A54"/>
    <w:rsid w:val="00A41108"/>
    <w:rsid w:val="00A4694D"/>
    <w:rsid w:val="00A5522E"/>
    <w:rsid w:val="00A74810"/>
    <w:rsid w:val="00AB0655"/>
    <w:rsid w:val="00AB0E1E"/>
    <w:rsid w:val="00AC05C2"/>
    <w:rsid w:val="00AC3224"/>
    <w:rsid w:val="00AD39B9"/>
    <w:rsid w:val="00B03E0C"/>
    <w:rsid w:val="00B067DA"/>
    <w:rsid w:val="00B30916"/>
    <w:rsid w:val="00B53562"/>
    <w:rsid w:val="00B74F29"/>
    <w:rsid w:val="00B76EEA"/>
    <w:rsid w:val="00B7715E"/>
    <w:rsid w:val="00B81720"/>
    <w:rsid w:val="00B82326"/>
    <w:rsid w:val="00BC4A8B"/>
    <w:rsid w:val="00BE7328"/>
    <w:rsid w:val="00C66F70"/>
    <w:rsid w:val="00C80128"/>
    <w:rsid w:val="00C8194D"/>
    <w:rsid w:val="00CC06E1"/>
    <w:rsid w:val="00CD41B1"/>
    <w:rsid w:val="00CE073F"/>
    <w:rsid w:val="00D13416"/>
    <w:rsid w:val="00D270C4"/>
    <w:rsid w:val="00D328C4"/>
    <w:rsid w:val="00D713B3"/>
    <w:rsid w:val="00D838AE"/>
    <w:rsid w:val="00D90813"/>
    <w:rsid w:val="00DB650E"/>
    <w:rsid w:val="00DB66B7"/>
    <w:rsid w:val="00DD2549"/>
    <w:rsid w:val="00DD32EE"/>
    <w:rsid w:val="00DF3040"/>
    <w:rsid w:val="00E075CA"/>
    <w:rsid w:val="00E2302F"/>
    <w:rsid w:val="00E260B0"/>
    <w:rsid w:val="00E26999"/>
    <w:rsid w:val="00E42DBD"/>
    <w:rsid w:val="00E9345B"/>
    <w:rsid w:val="00EA0813"/>
    <w:rsid w:val="00EB6430"/>
    <w:rsid w:val="00EB6757"/>
    <w:rsid w:val="00EB7A65"/>
    <w:rsid w:val="00EE61DE"/>
    <w:rsid w:val="00EE7D4D"/>
    <w:rsid w:val="00EF1F13"/>
    <w:rsid w:val="00EF5E44"/>
    <w:rsid w:val="00F11ECB"/>
    <w:rsid w:val="00F201EC"/>
    <w:rsid w:val="00F47CBA"/>
    <w:rsid w:val="00F550E2"/>
    <w:rsid w:val="00F67479"/>
    <w:rsid w:val="00F779E9"/>
    <w:rsid w:val="00F92CE4"/>
    <w:rsid w:val="00F93A1B"/>
    <w:rsid w:val="00FA1D31"/>
    <w:rsid w:val="00FC68D7"/>
    <w:rsid w:val="00FE4541"/>
    <w:rsid w:val="00FE68E8"/>
    <w:rsid w:val="045D24C8"/>
    <w:rsid w:val="29453D02"/>
    <w:rsid w:val="3BDCAFE6"/>
    <w:rsid w:val="5A5C7D2C"/>
    <w:rsid w:val="77CD7FAC"/>
    <w:rsid w:val="BF3C270A"/>
    <w:rsid w:val="BF3EEAAA"/>
    <w:rsid w:val="D45D8EB7"/>
    <w:rsid w:val="DC9B5A15"/>
    <w:rsid w:val="DFDB0118"/>
    <w:rsid w:val="FA6B48D9"/>
    <w:rsid w:val="FBF730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Date"/>
    <w:basedOn w:val="1"/>
    <w:next w:val="1"/>
    <w:qFormat/>
    <w:uiPriority w:val="0"/>
    <w:rPr>
      <w:sz w:val="32"/>
      <w:szCs w:val="20"/>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99"/>
  </w:style>
  <w:style w:type="character" w:customStyle="1" w:styleId="10">
    <w:name w:val="页脚 Char"/>
    <w:link w:val="4"/>
    <w:qFormat/>
    <w:uiPriority w:val="99"/>
    <w:rPr>
      <w:kern w:val="2"/>
      <w:sz w:val="18"/>
      <w:szCs w:val="18"/>
    </w:rPr>
  </w:style>
  <w:style w:type="character" w:customStyle="1" w:styleId="11">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2747</Words>
  <Characters>2829</Characters>
  <Lines>94</Lines>
  <Paragraphs>26</Paragraphs>
  <TotalTime>4.33333333333333</TotalTime>
  <ScaleCrop>false</ScaleCrop>
  <LinksUpToDate>false</LinksUpToDate>
  <CharactersWithSpaces>2863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2021-04-21T09:36:00Z</dcterms:created>
  <dc:creator>user</dc:creator>
  <cp:lastModifiedBy>拾雲</cp:lastModifiedBy>
  <cp:lastPrinted>2021-04-21T09:36:00Z</cp:lastPrinted>
  <dcterms:modified xsi:type="dcterms:W3CDTF">2023-06-16T01:52:57Z</dcterms:modified>
  <dc:title>中共天津港保税区工作委员会文件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7F6717796BD14ACEBFD0809F9F3F2207_13</vt:lpwstr>
  </property>
</Properties>
</file>