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国务院应对新型冠状病毒感染肺炎疫情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联防联控机制关于印发全国不同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风险地区企事业单位复工复产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疫情防控措施指南的通知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ascii="楷体" w:hAnsi="楷体" w:eastAsia="楷体" w:cs="楷体"/>
          <w:i w:val="0"/>
          <w:iCs w:val="0"/>
          <w:caps w:val="0"/>
          <w:color w:val="333333"/>
          <w:spacing w:val="0"/>
          <w:sz w:val="19"/>
          <w:szCs w:val="19"/>
          <w:bdr w:val="none" w:color="auto" w:sz="0" w:space="0"/>
          <w:shd w:val="clear" w:fill="FFFFFF"/>
        </w:rPr>
        <w:t>国发明电〔2020〕12号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2020年2月21日，国务院应对新型冠状病毒感染肺炎疫情联防联控机制发布《企事业单位复工复产疫情防控措施指南》，为指导企事业单位做好疫情防控工作、稳步有序复工复产发挥了积极作用。目前，全国疫情防控形势持续向好，绝大多数县（市、区、旗）已是低风险地区，要以省域为单元推动经济社会秩序恢复。为进一步推进全国低风险地区企事业单位全面复工复产，尽快恢复正常生产生活秩序，同时推动高风险、中风险地区继续按照科学防控、精准施策、分区分级等有关要求，统筹做好企事业单位疫情防控和复工复产工作，有序恢复生产生活秩序，经中央应对新型冠状病毒感染肺炎疫情工作领导小组同意，现将《全国不同风险地区企事业单位复工复产疫情防控措施指南》印发给你们，请结合实际抓好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国务院应对新型冠状病毒感染肺炎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疫情联防联控机制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2020年4月7日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全国不同风险地区企事业单位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复工复产疫情防控措施指南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为进一步推进全国低风险地区企事业单位全面复工复产，尽快恢复正常生产生活秩序，同时推动高风险、中风险地区继续按照科学防控、精准施策、分区分级等有关要求，统筹做好企事业单位疫情防控和复工复产工作，有序恢复生产生活秩序，特制定本防控措施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一、低风险地区企事业单位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各单位要实施外防输入策略，及时掌握员工流动情况，对来自高风险、中风险地区及境外的人员，按照本地区要求做好健康管理；对来自低风险地区的人员，如体温检测正常即可上岗，不得再设置障碍，不得再实施上岗前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（二）各单位要及时了解员工身体状况，发现员工出现发热、呼吸道症状时，要尽快安排到定点医院就医，一旦发现疑似或确诊病例，必须立即启动应对预案予以妥善处置。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（三）各单位要保持工作场所通风换气，在条件允许的情况下，首选自然通风。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（四）各单位要在工作场所设置洗手设施或配备免洗消毒用品，注意做好工作和生活场所清洁消毒。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（五）各单位在防疫期间要尽量减少人员聚集和集体活动，保持室内聚集场所空气流通，加强员工用餐管理，做好食堂餐具清洁消毒。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（六）各单位在采取有效措施、保障员工集体宿舍空气流通、清洁消毒到位的前提下，自主决定每间宿舍安排人员数量。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（七）各单位要做好疫情防控知识科普宣传，指导督促员工增强防护意识，落实个人防护要求，养成勤洗手习惯，打喷嚏或咳嗽时要遮挡。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（八）各单位从事接触粉尘、化学毒物等危害相关作业的员工，要按照职业健康规范等相关要求佩戴口罩，其他员工可按照《公众科学戴口罩指引》要求佩戴口罩，具体由单位根据各自情况决定。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（九）各单位要保障应急处置能力，做到无症状感染者、疑似和确诊病例早发现、早报告、早隔离、早治疗，防范聚集性疫情。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二、高风险和中风险地区企事业单位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高风险和中风险地区各单位在落实低风险地区企事业单位防控措施基础上，要加强员工健康监测和出入登记管理，在员工和外来人员进入单位或厂区前进行体温检测，正常方可进入；落实工作场所防控措施，减少召开会议，需要开的会议要缩短时间、控制规模，提倡召开视频或电话会议，根据实际情况采取错时上下班、弹性工作制或居家办公方式；指导员工做好个人防护，尽量减少外出特别是避免去人群聚集或空气流动性差的场所；明确疫情防控应急措施和处置流程，把防控责任落实到部门和个人，妥善处置异常情况。各项具体防控措施继续按照《国务院应对新型冠状病毒感染肺炎疫情联防联控机制关于印发企事业单位复工复产疫情防控措施指南的通知》要求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三、有关工作要求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省、自治区、直辖市人民政府要按照《国务院应对新型冠状病毒感染肺炎疫情联防联控机制关于科学防治精准施策分区分级做好新冠肺炎疫情防控工作的指导意见》的要求，动态调整辖区内低风险、中风险、高风险县（市、区、旗）名单并及时对外发布，加强对企事业单位疫情防控和复工复产工作的统筹指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067B"/>
    <w:rsid w:val="10F3067B"/>
    <w:rsid w:val="775B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2021-08-09T08:50:00Z</dcterms:created>
  <dc:creator>kiko</dc:creator>
  <cp:lastModifiedBy>kiko</cp:lastModifiedBy>
  <dcterms:modified xsi:type="dcterms:W3CDTF">2021-08-09T08:52:10Z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1A51EE849C0A4DCF85DE95483E04F007</vt:lpwstr>
  </property>
</Properties>
</file>